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06D5" w14:textId="77777777" w:rsidR="0088621D" w:rsidRDefault="008862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ДЕЛОВАЯ ИГРА: </w:t>
      </w:r>
    </w:p>
    <w:p w14:paraId="7FE1C72A" w14:textId="5CF9150A" w:rsidR="00C1433B" w:rsidRPr="0008179F" w:rsidRDefault="0008179F">
      <w:pPr>
        <w:rPr>
          <w:b/>
          <w:sz w:val="36"/>
          <w:szCs w:val="36"/>
        </w:rPr>
      </w:pPr>
      <w:r w:rsidRPr="0008179F">
        <w:rPr>
          <w:b/>
          <w:sz w:val="36"/>
          <w:szCs w:val="36"/>
        </w:rPr>
        <w:t xml:space="preserve">Описание проекта «Организация производства объемных монокристаллов </w:t>
      </w:r>
      <w:r w:rsidR="003706E0">
        <w:rPr>
          <w:b/>
          <w:sz w:val="36"/>
          <w:szCs w:val="36"/>
        </w:rPr>
        <w:t>арсенида галлия</w:t>
      </w:r>
      <w:r w:rsidRPr="0008179F">
        <w:rPr>
          <w:b/>
          <w:sz w:val="36"/>
          <w:szCs w:val="36"/>
        </w:rPr>
        <w:t xml:space="preserve"> (</w:t>
      </w:r>
      <w:r w:rsidR="003706E0">
        <w:rPr>
          <w:b/>
          <w:sz w:val="36"/>
          <w:szCs w:val="36"/>
        </w:rPr>
        <w:t>GaAs</w:t>
      </w:r>
      <w:r w:rsidRPr="0008179F">
        <w:rPr>
          <w:b/>
          <w:sz w:val="36"/>
          <w:szCs w:val="36"/>
        </w:rPr>
        <w:t>)»</w:t>
      </w:r>
    </w:p>
    <w:p w14:paraId="13A2835B" w14:textId="77777777" w:rsidR="0008179F" w:rsidRDefault="0008179F"/>
    <w:p w14:paraId="6BA9647D" w14:textId="77777777" w:rsidR="002468D8" w:rsidRDefault="002468D8" w:rsidP="00B71591">
      <w:pPr>
        <w:jc w:val="both"/>
      </w:pPr>
    </w:p>
    <w:p w14:paraId="5C95FF84" w14:textId="26FB82E1" w:rsidR="0008179F" w:rsidRDefault="0008179F" w:rsidP="00B71591">
      <w:pPr>
        <w:jc w:val="both"/>
      </w:pPr>
      <w:r>
        <w:t xml:space="preserve">Целью проекта является организация в России научно-производственного комплекса, включающего научно-технологический центр и цех для мелкосерийного многономенклатурного производства монокристаллических подложек </w:t>
      </w:r>
      <w:r w:rsidR="003706E0">
        <w:t>арсенида галлия</w:t>
      </w:r>
      <w:r>
        <w:t xml:space="preserve"> большого диаметра из объемных монокристаллов </w:t>
      </w:r>
      <w:r w:rsidR="003706E0">
        <w:t>GaAs</w:t>
      </w:r>
      <w:r>
        <w:t xml:space="preserve"> высокого структурного совершенства.</w:t>
      </w:r>
    </w:p>
    <w:p w14:paraId="01785368" w14:textId="77777777" w:rsidR="0008179F" w:rsidRDefault="0008179F" w:rsidP="00B71591">
      <w:pPr>
        <w:jc w:val="both"/>
      </w:pPr>
    </w:p>
    <w:p w14:paraId="00247834" w14:textId="2A381EC5" w:rsidR="0008179F" w:rsidRDefault="0008179F" w:rsidP="00B71591">
      <w:pPr>
        <w:jc w:val="both"/>
      </w:pPr>
      <w:r>
        <w:t xml:space="preserve">Промышленное применение </w:t>
      </w:r>
      <w:r w:rsidR="003706E0">
        <w:t>GaAs</w:t>
      </w:r>
      <w:r>
        <w:t xml:space="preserve"> началось в начале 2000-х годов, с этого момента ежегодный рост рынка составляет в среднем 30%, и по прогнозам, такой темп роста сохранится до 2020 года. Наибольшее применение материал находит в областях силовой электроники, световой электроники и электроники специального назначения. Одной из ключевых задач мирового сообщества, а особенно развитых стран, является задача повышения эффективности использования природных ресурсов, в том числе энергоэффективности. Применение </w:t>
      </w:r>
      <w:r w:rsidR="003706E0">
        <w:t>арсенида галлия</w:t>
      </w:r>
      <w:r>
        <w:t xml:space="preserve">   позволяет резко улучшить характеристики практически всех приборов силовой электроники и преобразователей на их основе, в том числе существенно снизить потери электроэнергии. </w:t>
      </w:r>
      <w:r w:rsidR="003706E0">
        <w:t>GaAs</w:t>
      </w:r>
      <w:r>
        <w:t xml:space="preserve"> широко применяется в альтернативной энергетике – солнечной и ветровой. </w:t>
      </w:r>
    </w:p>
    <w:p w14:paraId="122417F2" w14:textId="77777777" w:rsidR="0008179F" w:rsidRDefault="0008179F" w:rsidP="00B71591">
      <w:pPr>
        <w:jc w:val="both"/>
      </w:pPr>
    </w:p>
    <w:p w14:paraId="0DB74E9B" w14:textId="1ABB296E" w:rsidR="0008179F" w:rsidRDefault="0008179F" w:rsidP="00B71591">
      <w:pPr>
        <w:jc w:val="both"/>
      </w:pPr>
      <w:r>
        <w:t>Инициатор проекта – АО «</w:t>
      </w:r>
      <w:r w:rsidR="005B17AC">
        <w:t>Электрозавод</w:t>
      </w:r>
      <w:r>
        <w:t xml:space="preserve">». Для реализации проекта создано ООО </w:t>
      </w:r>
      <w:r w:rsidR="003706E0">
        <w:t>«Монокристалл»</w:t>
      </w:r>
      <w:r>
        <w:t>, являющееся исполнителем проекта и выступающее заемщиком по привлекаемому кредиту. Единственным акционером созданного общества является АО «</w:t>
      </w:r>
      <w:r w:rsidR="005B17AC">
        <w:t>Электрозавод</w:t>
      </w:r>
      <w:r>
        <w:t>».</w:t>
      </w:r>
    </w:p>
    <w:p w14:paraId="4C4F5A6A" w14:textId="77777777" w:rsidR="0008179F" w:rsidRDefault="0008179F" w:rsidP="00B71591">
      <w:pPr>
        <w:jc w:val="both"/>
      </w:pPr>
    </w:p>
    <w:p w14:paraId="1B4C60A3" w14:textId="77777777" w:rsidR="0008179F" w:rsidRDefault="0008179F" w:rsidP="00B71591">
      <w:pPr>
        <w:jc w:val="both"/>
      </w:pPr>
      <w:r>
        <w:t xml:space="preserve">Новое производство будет размещено на арендованных площадях, принадлежащих на праве собственности ОАО НИИ «Дельта», город Москва. </w:t>
      </w:r>
    </w:p>
    <w:p w14:paraId="3E6222E3" w14:textId="77777777" w:rsidR="005B17AC" w:rsidRDefault="005B17AC" w:rsidP="00B71591">
      <w:pPr>
        <w:jc w:val="both"/>
      </w:pPr>
    </w:p>
    <w:p w14:paraId="6F6033C2" w14:textId="7F0B1827" w:rsidR="0008179F" w:rsidRDefault="0008179F" w:rsidP="00B71591">
      <w:pPr>
        <w:jc w:val="both"/>
      </w:pPr>
      <w:r>
        <w:t xml:space="preserve">Начало реализации проекта планируется в </w:t>
      </w:r>
      <w:r w:rsidRPr="00B71591">
        <w:rPr>
          <w:b/>
        </w:rPr>
        <w:t>1 кв. 201</w:t>
      </w:r>
      <w:r w:rsidR="00B71591">
        <w:rPr>
          <w:b/>
        </w:rPr>
        <w:t>6</w:t>
      </w:r>
      <w:r w:rsidRPr="00B71591">
        <w:rPr>
          <w:b/>
        </w:rPr>
        <w:t xml:space="preserve"> года</w:t>
      </w:r>
      <w:r>
        <w:t xml:space="preserve">, полная длительность инвестиционной фазы составит </w:t>
      </w:r>
      <w:r w:rsidR="005B17AC">
        <w:t>8</w:t>
      </w:r>
      <w:r>
        <w:t xml:space="preserve"> кварталов. </w:t>
      </w:r>
    </w:p>
    <w:p w14:paraId="58AE963B" w14:textId="77777777" w:rsidR="00B71591" w:rsidRDefault="00B71591" w:rsidP="00B71591">
      <w:pPr>
        <w:jc w:val="both"/>
      </w:pPr>
    </w:p>
    <w:p w14:paraId="3CC63FE8" w14:textId="15EFD892" w:rsidR="0008179F" w:rsidRDefault="0008179F" w:rsidP="00E56E9C">
      <w:pPr>
        <w:jc w:val="both"/>
      </w:pPr>
      <w:r>
        <w:t xml:space="preserve">Начало эксплуатационной фазы – в 5 квартале с начала реализации проекта, выход на проектную мощность с учетом постепенного роста потребностей покупателей планируется с </w:t>
      </w:r>
      <w:r w:rsidR="005B17AC">
        <w:t>9</w:t>
      </w:r>
      <w:r>
        <w:t xml:space="preserve"> квартала. </w:t>
      </w:r>
    </w:p>
    <w:p w14:paraId="1C8E8565" w14:textId="77777777" w:rsidR="0008179F" w:rsidRDefault="0008179F" w:rsidP="00E56E9C">
      <w:pPr>
        <w:jc w:val="both"/>
      </w:pPr>
    </w:p>
    <w:p w14:paraId="22A02C90" w14:textId="2B4B9FF9" w:rsidR="00B71591" w:rsidRPr="00313361" w:rsidRDefault="002468D8" w:rsidP="003706E0">
      <w:pPr>
        <w:jc w:val="both"/>
        <w:outlineLvl w:val="0"/>
        <w:rPr>
          <w:b/>
        </w:rPr>
      </w:pPr>
      <w:r w:rsidRPr="00313361">
        <w:rPr>
          <w:b/>
        </w:rPr>
        <w:t>Маркетинговый план</w:t>
      </w:r>
    </w:p>
    <w:p w14:paraId="75DA64FA" w14:textId="77777777" w:rsidR="00B71591" w:rsidRDefault="00B71591" w:rsidP="00E56E9C">
      <w:pPr>
        <w:jc w:val="both"/>
      </w:pPr>
    </w:p>
    <w:p w14:paraId="1BA921CB" w14:textId="3B09307A" w:rsidR="002468D8" w:rsidRDefault="002468D8" w:rsidP="00E56E9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Рынок монокристаллов на основе </w:t>
      </w:r>
      <w:r w:rsidR="003706E0">
        <w:t>GaAs</w:t>
      </w:r>
      <w:r>
        <w:t xml:space="preserve"> имеет ряд особенностей, не позволяющих оценить его с максимальной объективностью. </w:t>
      </w:r>
    </w:p>
    <w:p w14:paraId="42821FAB" w14:textId="07F5367C" w:rsidR="002468D8" w:rsidRDefault="002468D8" w:rsidP="00E56E9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Рынок формирующийся – технологии развиваются, в исследования и разработку вкладываются значительные средства, крупнейшие компании-производители подложек </w:t>
      </w:r>
      <w:r w:rsidR="003706E0">
        <w:t>GaAs</w:t>
      </w:r>
      <w:r>
        <w:t xml:space="preserve"> активно занимаются продвижением нового материала, экспериментируя с ним и создавая новые устройства и новые сферы применения.  В связи с этим могут возникать скорее рекламные, чем реально осуществимые предложения и прогнозы изменения рынка. </w:t>
      </w:r>
    </w:p>
    <w:p w14:paraId="1505C26F" w14:textId="38EA82CD" w:rsidR="002468D8" w:rsidRDefault="003706E0" w:rsidP="00E56E9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lastRenderedPageBreak/>
        <w:t>Арсенид галлия</w:t>
      </w:r>
      <w:r w:rsidR="002468D8">
        <w:t xml:space="preserve"> используется в специальных областях, например, в оборонной и космической промышленности. Закрытость этих отраслей не позволяет оценить общий объем рынка </w:t>
      </w:r>
      <w:r>
        <w:t>GaAs</w:t>
      </w:r>
      <w:r w:rsidR="002468D8">
        <w:t xml:space="preserve">. </w:t>
      </w:r>
    </w:p>
    <w:p w14:paraId="1900D19A" w14:textId="6F854E7F" w:rsidR="002468D8" w:rsidRDefault="002468D8" w:rsidP="00E56E9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Крупнейшие производители, такие как </w:t>
      </w:r>
      <w:r w:rsidR="00490712">
        <w:t>IQE</w:t>
      </w:r>
      <w:r>
        <w:t xml:space="preserve">, не стремятся раскрывать всю информацию о себе и своей продукции, при этом оказывают существенное влияние на аналитику по рынку. </w:t>
      </w:r>
    </w:p>
    <w:p w14:paraId="4F75BA0A" w14:textId="182A51CF" w:rsidR="002468D8" w:rsidRDefault="002468D8" w:rsidP="00E56E9C">
      <w:pPr>
        <w:pStyle w:val="a3"/>
        <w:numPr>
          <w:ilvl w:val="0"/>
          <w:numId w:val="1"/>
        </w:numPr>
        <w:jc w:val="both"/>
      </w:pPr>
      <w:r>
        <w:t>Специфика самого продукта – продукты изготавливаются в соответствии с требованиями заказчика, давая, с одной стороны, очень широкий разброс цен на эту продукцию, а с другой – отсутствие открытой информации и какой-либо аналитики относительно цен.</w:t>
      </w:r>
    </w:p>
    <w:p w14:paraId="2A913DF4" w14:textId="77777777" w:rsidR="002468D8" w:rsidRDefault="002468D8" w:rsidP="00E56E9C">
      <w:pPr>
        <w:jc w:val="both"/>
      </w:pPr>
    </w:p>
    <w:p w14:paraId="34F6083E" w14:textId="7C6A57C6" w:rsidR="00B71591" w:rsidRDefault="00363C7D" w:rsidP="00E56E9C">
      <w:pPr>
        <w:jc w:val="both"/>
      </w:pPr>
      <w:r>
        <w:t xml:space="preserve">Анализ показывает, что мировой рынок </w:t>
      </w:r>
      <w:r w:rsidR="003706E0">
        <w:t>GaAs</w:t>
      </w:r>
      <w:r>
        <w:t xml:space="preserve"> достаточно развит, а востребованность </w:t>
      </w:r>
      <w:r w:rsidR="003706E0">
        <w:t>GaAs</w:t>
      </w:r>
      <w:r>
        <w:t xml:space="preserve"> как материала не вызывает сомнений. Появление новых игроков и развитие существующих дает основания считать рынок неосвоенным по объему. Более 30 компаний являются сейчас активными игроками на рынке </w:t>
      </w:r>
      <w:r w:rsidR="003706E0">
        <w:t>GaAs</w:t>
      </w:r>
      <w:r>
        <w:t xml:space="preserve">. </w:t>
      </w:r>
      <w:r w:rsidRPr="00363C7D">
        <w:t>Спад рынка на 20% в 2012 году эксперты связывают с глобальным экономическим спадом, в результате которого были остановлены или отложены большие инфраструктурные проекты, например, железнодорожные проекты в Китае. Аналогичная ситуация наблюдалась в 2009 году на фоне мирового экономического кризиса. Однако в целом прогноз для рынка силовых устройств остается положительным – к 2020 году он должен вырасти почти вдвое, с нынешних 10,5 млрд. долл. (2013 год) до 18 млрд. долл.</w:t>
      </w:r>
    </w:p>
    <w:p w14:paraId="5DA706F7" w14:textId="77777777" w:rsidR="00B71591" w:rsidRDefault="00B71591" w:rsidP="00E56E9C">
      <w:pPr>
        <w:jc w:val="both"/>
      </w:pPr>
    </w:p>
    <w:p w14:paraId="6BC326C4" w14:textId="72FBC1CC" w:rsidR="00B71591" w:rsidRDefault="00363C7D" w:rsidP="00E56E9C">
      <w:pPr>
        <w:jc w:val="both"/>
      </w:pPr>
      <w:r w:rsidRPr="00363C7D">
        <w:t xml:space="preserve">Россия является родиной технологии роста кристаллов </w:t>
      </w:r>
      <w:r w:rsidR="00DF78BA">
        <w:t xml:space="preserve">из арсенида галлия </w:t>
      </w:r>
      <w:r w:rsidRPr="00363C7D">
        <w:t xml:space="preserve">и изготовления подложек </w:t>
      </w:r>
      <w:r w:rsidR="003706E0">
        <w:t>GaAs</w:t>
      </w:r>
      <w:r w:rsidRPr="00363C7D">
        <w:t xml:space="preserve">, но промышленного развития в стране эта технология по ряду причин не получила. По состоянию на 2014 год в России в области </w:t>
      </w:r>
      <w:r w:rsidR="003706E0">
        <w:t>GaAs</w:t>
      </w:r>
      <w:r w:rsidRPr="00363C7D">
        <w:t>-технологий существуют ряд наработок, находящихся в стадии опытно-конструкторских разработок различной степени готовности и потребность во внедрении этих наработок в промышленное производство.</w:t>
      </w:r>
    </w:p>
    <w:p w14:paraId="38B322C4" w14:textId="77777777" w:rsidR="00B71591" w:rsidRDefault="00B71591" w:rsidP="00E56E9C">
      <w:pPr>
        <w:jc w:val="both"/>
      </w:pPr>
    </w:p>
    <w:p w14:paraId="1E940192" w14:textId="1EEA2F88" w:rsidR="00363C7D" w:rsidRDefault="00363C7D" w:rsidP="00E56E9C">
      <w:pPr>
        <w:jc w:val="both"/>
      </w:pPr>
      <w:r w:rsidRPr="00363C7D">
        <w:t>Экспортный потенциал подложки с эпитаксиальным слоем сохраняется на высоком уровне. Успех реализации продукции проекта на мировом рынке всецело зависит от маркетинговых усилий. В данном случае еще одним конкурентным преимуществом, помимо стоимости, является высокое стабильное качество за счет замкнутого цикла производства.</w:t>
      </w:r>
    </w:p>
    <w:p w14:paraId="2F0CF21E" w14:textId="77777777" w:rsidR="00363C7D" w:rsidRDefault="00363C7D" w:rsidP="00E56E9C">
      <w:pPr>
        <w:jc w:val="both"/>
      </w:pPr>
    </w:p>
    <w:p w14:paraId="3FBC6075" w14:textId="1A0FE57C" w:rsidR="00816AFF" w:rsidRDefault="00816AFF" w:rsidP="00E56E9C">
      <w:pPr>
        <w:jc w:val="both"/>
      </w:pPr>
      <w:r>
        <w:t>План продаж компании построен с учетом выявленных потребностей покупателей, а также с учетом технологических возможностей производственной линии. План продаж подразумевает на начальном этапе экспорт продукции с постепенным переходом на Российский рынок по мере его «пробуждения». Для дальнейшего планирования приняты несколько уровней развития компании:</w:t>
      </w:r>
    </w:p>
    <w:p w14:paraId="061A9B3B" w14:textId="77777777" w:rsidR="005B17AC" w:rsidRDefault="005B17AC" w:rsidP="00E56E9C">
      <w:pPr>
        <w:jc w:val="both"/>
      </w:pPr>
    </w:p>
    <w:p w14:paraId="38CD30A9" w14:textId="2020E53D" w:rsidR="00816AFF" w:rsidRDefault="00816AFF" w:rsidP="005B17AC">
      <w:pPr>
        <w:spacing w:after="40"/>
        <w:jc w:val="both"/>
      </w:pPr>
      <w:r>
        <w:t>Этап A: Освоение основных базовых технологий – 5 и 6 кв. с начала проекта;</w:t>
      </w:r>
    </w:p>
    <w:p w14:paraId="32D09A2A" w14:textId="0E3C42E2" w:rsidR="00816AFF" w:rsidRDefault="00816AFF" w:rsidP="005B17AC">
      <w:pPr>
        <w:spacing w:after="40"/>
        <w:jc w:val="both"/>
      </w:pPr>
      <w:r>
        <w:t>Этап B: Стабилизация качества продукции и наработка имиджа на внешнем рынке, выход на расчетную проектную мощность – 7 и 8 кв.;</w:t>
      </w:r>
    </w:p>
    <w:p w14:paraId="07B6FDC6" w14:textId="2CB99507" w:rsidR="00816AFF" w:rsidRDefault="00816AFF" w:rsidP="005B17AC">
      <w:pPr>
        <w:spacing w:after="40"/>
        <w:jc w:val="both"/>
      </w:pPr>
      <w:r>
        <w:t>Этап C: Освоение полного набора технологий – 9-11 кв.;</w:t>
      </w:r>
    </w:p>
    <w:p w14:paraId="12325778" w14:textId="66970043" w:rsidR="00816AFF" w:rsidRDefault="00816AFF" w:rsidP="005B17AC">
      <w:pPr>
        <w:spacing w:after="40"/>
        <w:jc w:val="both"/>
      </w:pPr>
      <w:r>
        <w:t>Этап D: Стабилизация качества продукции, активизация рынка России – 12 кв.;</w:t>
      </w:r>
    </w:p>
    <w:p w14:paraId="30525576" w14:textId="62D96734" w:rsidR="00816AFF" w:rsidRDefault="00816AFF" w:rsidP="00E56E9C">
      <w:pPr>
        <w:jc w:val="both"/>
      </w:pPr>
      <w:r>
        <w:t xml:space="preserve">Этап E: Наработка имиджа на рынке, выход на рынок России – начиная с 13 кв. </w:t>
      </w:r>
    </w:p>
    <w:p w14:paraId="1EB12598" w14:textId="77777777" w:rsidR="00363C7D" w:rsidRPr="00313361" w:rsidRDefault="00363C7D"/>
    <w:p w14:paraId="49592D40" w14:textId="0C62AECF" w:rsidR="00816AFF" w:rsidRDefault="00CB341F" w:rsidP="005B17AC">
      <w:pPr>
        <w:keepNext/>
        <w:spacing w:after="120"/>
      </w:pPr>
      <w:r>
        <w:lastRenderedPageBreak/>
        <w:t>Прогноз среднеквартальных продаж</w:t>
      </w:r>
      <w:r w:rsidR="00F75DF3">
        <w:t>, шт.</w:t>
      </w:r>
      <w:r>
        <w:t>:</w:t>
      </w:r>
    </w:p>
    <w:tbl>
      <w:tblPr>
        <w:tblStyle w:val="-31"/>
        <w:tblW w:w="9575" w:type="dxa"/>
        <w:tblLook w:val="04A0" w:firstRow="1" w:lastRow="0" w:firstColumn="1" w:lastColumn="0" w:noHBand="0" w:noVBand="1"/>
      </w:tblPr>
      <w:tblGrid>
        <w:gridCol w:w="2552"/>
        <w:gridCol w:w="1404"/>
        <w:gridCol w:w="1405"/>
        <w:gridCol w:w="1404"/>
        <w:gridCol w:w="1405"/>
        <w:gridCol w:w="1405"/>
      </w:tblGrid>
      <w:tr w:rsidR="00E56E9C" w14:paraId="756E27C2" w14:textId="77777777" w:rsidTr="00DF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330CC0F9" w14:textId="77777777" w:rsidR="00CB341F" w:rsidRDefault="00CB341F" w:rsidP="005B17AC">
            <w:pPr>
              <w:keepNext/>
            </w:pPr>
          </w:p>
        </w:tc>
        <w:tc>
          <w:tcPr>
            <w:tcW w:w="1404" w:type="dxa"/>
          </w:tcPr>
          <w:p w14:paraId="0B53E2BB" w14:textId="46DB66FB" w:rsidR="00CB341F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405" w:type="dxa"/>
          </w:tcPr>
          <w:p w14:paraId="2C2DE458" w14:textId="6A0A7416" w:rsidR="00CB341F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404" w:type="dxa"/>
          </w:tcPr>
          <w:p w14:paraId="779DD796" w14:textId="2E146615" w:rsidR="00CB341F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405" w:type="dxa"/>
          </w:tcPr>
          <w:p w14:paraId="7D648A9A" w14:textId="5F9CF14B" w:rsidR="00CB341F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405" w:type="dxa"/>
          </w:tcPr>
          <w:p w14:paraId="48323134" w14:textId="77777777" w:rsidR="00CB341F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  <w:p w14:paraId="1526328E" w14:textId="489672B4" w:rsidR="00CB341F" w:rsidRPr="00F75DF3" w:rsidRDefault="00CB341F" w:rsidP="005B17AC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и далее</w:t>
            </w:r>
          </w:p>
        </w:tc>
      </w:tr>
      <w:tr w:rsidR="00E56E9C" w14:paraId="1EB068A8" w14:textId="77777777" w:rsidTr="00DF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F823D5" w14:textId="42187EB9" w:rsidR="00CB341F" w:rsidRPr="00CB341F" w:rsidRDefault="003706E0" w:rsidP="005B17AC">
            <w:pPr>
              <w:keepNext/>
            </w:pPr>
            <w:r>
              <w:rPr>
                <w:lang w:val="en-US"/>
              </w:rPr>
              <w:t>GaAs</w:t>
            </w:r>
            <w:r w:rsidR="00CB341F">
              <w:rPr>
                <w:lang w:val="en-US"/>
              </w:rPr>
              <w:t xml:space="preserve"> </w:t>
            </w:r>
            <w:r w:rsidR="00F75DF3">
              <w:rPr>
                <w:lang w:val="en-US"/>
              </w:rPr>
              <w:t>22k</w:t>
            </w:r>
            <w:r w:rsidR="00CB341F">
              <w:rPr>
                <w:lang w:val="en-US"/>
              </w:rPr>
              <w:t xml:space="preserve">V, </w:t>
            </w:r>
            <w:r w:rsidR="00CB341F">
              <w:t>экспорт</w:t>
            </w:r>
          </w:p>
        </w:tc>
        <w:tc>
          <w:tcPr>
            <w:tcW w:w="1404" w:type="dxa"/>
          </w:tcPr>
          <w:p w14:paraId="53835AA6" w14:textId="01740474" w:rsidR="00CB341F" w:rsidRDefault="00F75DF3" w:rsidP="005B17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405" w:type="dxa"/>
          </w:tcPr>
          <w:p w14:paraId="71397BF3" w14:textId="1606A235" w:rsidR="00CB341F" w:rsidRDefault="00F75DF3" w:rsidP="005B17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1404" w:type="dxa"/>
          </w:tcPr>
          <w:p w14:paraId="45551DD3" w14:textId="3207B1E9" w:rsidR="00CB341F" w:rsidRDefault="00F75DF3" w:rsidP="005B17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</w:t>
            </w:r>
          </w:p>
        </w:tc>
        <w:tc>
          <w:tcPr>
            <w:tcW w:w="1405" w:type="dxa"/>
          </w:tcPr>
          <w:p w14:paraId="6D660DED" w14:textId="239CBF01" w:rsidR="00CB341F" w:rsidRDefault="00F75DF3" w:rsidP="005B17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405" w:type="dxa"/>
          </w:tcPr>
          <w:p w14:paraId="7F313AF9" w14:textId="4F585A5C" w:rsidR="00CB341F" w:rsidRDefault="00F75DF3" w:rsidP="005B17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</w:p>
        </w:tc>
      </w:tr>
      <w:tr w:rsidR="00E56E9C" w14:paraId="0C23B8CB" w14:textId="77777777" w:rsidTr="00DF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ABB4CB" w14:textId="7838918D" w:rsidR="00CB341F" w:rsidRPr="00CB341F" w:rsidRDefault="003706E0" w:rsidP="00F75DF3">
            <w:r>
              <w:rPr>
                <w:lang w:val="en-US"/>
              </w:rPr>
              <w:t>GaAs</w:t>
            </w:r>
            <w:r w:rsidR="00CB341F">
              <w:rPr>
                <w:lang w:val="en-US"/>
              </w:rPr>
              <w:t xml:space="preserve"> </w:t>
            </w:r>
            <w:r w:rsidR="00F75DF3">
              <w:rPr>
                <w:lang w:val="en-US"/>
              </w:rPr>
              <w:t>22k</w:t>
            </w:r>
            <w:r w:rsidR="00CB341F">
              <w:rPr>
                <w:lang w:val="en-US"/>
              </w:rPr>
              <w:t xml:space="preserve">V </w:t>
            </w:r>
            <w:r w:rsidR="00CB341F">
              <w:t>Россия</w:t>
            </w:r>
          </w:p>
        </w:tc>
        <w:tc>
          <w:tcPr>
            <w:tcW w:w="1404" w:type="dxa"/>
          </w:tcPr>
          <w:p w14:paraId="0643BFB1" w14:textId="77777777" w:rsidR="00CB341F" w:rsidRDefault="00CB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701DAB29" w14:textId="77777777" w:rsidR="00CB341F" w:rsidRDefault="00CB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14:paraId="3D3C3722" w14:textId="77777777" w:rsidR="00CB341F" w:rsidRDefault="00CB3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4A1BFB47" w14:textId="16938FB0" w:rsidR="00CB341F" w:rsidRDefault="00F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405" w:type="dxa"/>
          </w:tcPr>
          <w:p w14:paraId="2E83AA29" w14:textId="0B8F62D4" w:rsidR="00CB341F" w:rsidRDefault="00F7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</w:tr>
    </w:tbl>
    <w:p w14:paraId="1BEDD72F" w14:textId="77777777" w:rsidR="00CB341F" w:rsidRDefault="00CB341F"/>
    <w:p w14:paraId="1D1B4767" w14:textId="42AFB964" w:rsidR="00E56E9C" w:rsidRDefault="00F75DF3" w:rsidP="00DF78BA">
      <w:pPr>
        <w:jc w:val="both"/>
      </w:pPr>
      <w:r w:rsidRPr="00F75DF3">
        <w:t>В целях соблюдения принципа меньшей цены в расчете принимается цена эпитаксиальных структур на 10% ниже средней</w:t>
      </w:r>
      <w:r>
        <w:t xml:space="preserve"> по рынку. Это означает, что средняя стоимость </w:t>
      </w:r>
      <w:r w:rsidR="00E56E9C">
        <w:t xml:space="preserve">одного продукта, отправляемого на экспорт составляет в сегодняшних ценах </w:t>
      </w:r>
      <w:r w:rsidR="005A0AA2">
        <w:t>2</w:t>
      </w:r>
      <w:r w:rsidR="00177B72">
        <w:t xml:space="preserve"> </w:t>
      </w:r>
      <w:r w:rsidR="005A0AA2">
        <w:t>6</w:t>
      </w:r>
      <w:r w:rsidR="00E56E9C">
        <w:t xml:space="preserve">00 долларов США. </w:t>
      </w:r>
    </w:p>
    <w:p w14:paraId="1B59F88F" w14:textId="77777777" w:rsidR="00E56E9C" w:rsidRDefault="00E56E9C" w:rsidP="00DF78BA">
      <w:pPr>
        <w:jc w:val="both"/>
      </w:pPr>
    </w:p>
    <w:p w14:paraId="41C1363B" w14:textId="5A14690E" w:rsidR="00F75DF3" w:rsidRDefault="00E56E9C" w:rsidP="00DF78BA">
      <w:pPr>
        <w:jc w:val="both"/>
      </w:pPr>
      <w:r>
        <w:t xml:space="preserve">Мы предполагаем, что на российском рынке </w:t>
      </w:r>
      <w:r w:rsidR="002E23CE">
        <w:t xml:space="preserve">цена будет развиваться по своим правилам и сегодняшняя цена отдельных сделок, равная </w:t>
      </w:r>
      <w:r w:rsidR="005A0AA2">
        <w:t>155</w:t>
      </w:r>
      <w:r w:rsidR="002E23CE">
        <w:t xml:space="preserve"> тыс. руб. без НДС снизится примерно на 10%</w:t>
      </w:r>
      <w:r w:rsidR="00313361">
        <w:t xml:space="preserve"> (то есть до уровня </w:t>
      </w:r>
      <w:r w:rsidR="005A0AA2">
        <w:t>149</w:t>
      </w:r>
      <w:r w:rsidR="00313361">
        <w:t xml:space="preserve"> тыс. руб. в сегодняшних ценах)</w:t>
      </w:r>
      <w:r w:rsidR="002E23CE">
        <w:t xml:space="preserve">, а в остальном будет починяться </w:t>
      </w:r>
      <w:r w:rsidR="005A0AA2">
        <w:t xml:space="preserve">общему уровню </w:t>
      </w:r>
      <w:r w:rsidR="002E23CE">
        <w:t>инфляции</w:t>
      </w:r>
      <w:r>
        <w:t xml:space="preserve">. Необходимость перехода к поставкам для российских клиентов определяется стратегическими вопросами технологической безопасности российских компаний, предоставляющих ресурсы для проекта, так как это сделает их работу (когда соответствующие потребности в </w:t>
      </w:r>
      <w:r w:rsidR="003706E0">
        <w:rPr>
          <w:lang w:val="en-US"/>
        </w:rPr>
        <w:t>GaAs</w:t>
      </w:r>
      <w:r w:rsidRPr="00313361">
        <w:t xml:space="preserve"> </w:t>
      </w:r>
      <w:r>
        <w:t>появятся) независимой от зарубежных поставок.</w:t>
      </w:r>
    </w:p>
    <w:p w14:paraId="05B86887" w14:textId="77777777" w:rsidR="00F75DF3" w:rsidRDefault="00F75DF3" w:rsidP="00DF78BA">
      <w:pPr>
        <w:jc w:val="both"/>
      </w:pPr>
    </w:p>
    <w:p w14:paraId="220CF6B9" w14:textId="0FDA4598" w:rsidR="002E23CE" w:rsidRPr="00313361" w:rsidRDefault="002E23CE" w:rsidP="00DF78BA">
      <w:pPr>
        <w:jc w:val="both"/>
      </w:pPr>
      <w:r>
        <w:t>Курс доллара сегодня: 63 рубля. Наши экономисты верят в то, что долгосрочные прогнозы курса должны опираться на паритет покупательной способности валют, то есть на соотношение инфляций по двум валютам.</w:t>
      </w:r>
    </w:p>
    <w:p w14:paraId="6661CF07" w14:textId="78E9821B" w:rsidR="002E23CE" w:rsidRDefault="002E23CE" w:rsidP="00DF78BA">
      <w:pPr>
        <w:jc w:val="both"/>
      </w:pPr>
      <w:r>
        <w:t>Инфляция долларовых цен в последний год упала до нуля. Вероятнее всего, она останется такой еще года два, а затем вернется к сложившемуся в последнее десятилетие уровню 2% в год. Прогноз инфляции на рублевые цены:</w:t>
      </w:r>
    </w:p>
    <w:p w14:paraId="3F068A04" w14:textId="77777777" w:rsidR="002E23CE" w:rsidRDefault="002E23CE"/>
    <w:tbl>
      <w:tblPr>
        <w:tblStyle w:val="-31"/>
        <w:tblW w:w="0" w:type="auto"/>
        <w:tblLook w:val="0420" w:firstRow="1" w:lastRow="0" w:firstColumn="0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2E23CE" w14:paraId="02CB6BC5" w14:textId="77777777" w:rsidTr="002E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7" w:type="dxa"/>
          </w:tcPr>
          <w:p w14:paraId="721194F2" w14:textId="7A866F70" w:rsidR="002E23CE" w:rsidRDefault="002E23CE">
            <w:r>
              <w:t>2016</w:t>
            </w:r>
          </w:p>
        </w:tc>
        <w:tc>
          <w:tcPr>
            <w:tcW w:w="1868" w:type="dxa"/>
          </w:tcPr>
          <w:p w14:paraId="278BF4DD" w14:textId="126E2795" w:rsidR="002E23CE" w:rsidRDefault="002E23CE">
            <w:r>
              <w:t>2017</w:t>
            </w:r>
          </w:p>
        </w:tc>
        <w:tc>
          <w:tcPr>
            <w:tcW w:w="1868" w:type="dxa"/>
          </w:tcPr>
          <w:p w14:paraId="3F3D79F5" w14:textId="26F13767" w:rsidR="002E23CE" w:rsidRDefault="002E23CE">
            <w:r>
              <w:t>2018</w:t>
            </w:r>
          </w:p>
        </w:tc>
        <w:tc>
          <w:tcPr>
            <w:tcW w:w="1868" w:type="dxa"/>
          </w:tcPr>
          <w:p w14:paraId="347C8445" w14:textId="0EE72DB5" w:rsidR="002E23CE" w:rsidRDefault="002E23CE">
            <w:r>
              <w:t>2019</w:t>
            </w:r>
          </w:p>
        </w:tc>
        <w:tc>
          <w:tcPr>
            <w:tcW w:w="1868" w:type="dxa"/>
          </w:tcPr>
          <w:p w14:paraId="27EB23DC" w14:textId="55D13093" w:rsidR="002E23CE" w:rsidRDefault="002E23CE">
            <w:r>
              <w:t>2020 и далее</w:t>
            </w:r>
          </w:p>
        </w:tc>
      </w:tr>
      <w:tr w:rsidR="002E23CE" w14:paraId="264685C4" w14:textId="77777777" w:rsidTr="002E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</w:tcPr>
          <w:p w14:paraId="50F2048F" w14:textId="55415D9B" w:rsidR="002E23CE" w:rsidRPr="002E23CE" w:rsidRDefault="002E23CE">
            <w:pPr>
              <w:rPr>
                <w:lang w:val="en-US"/>
              </w:rPr>
            </w:pPr>
            <w:r>
              <w:rPr>
                <w:lang w:val="en-US"/>
              </w:rPr>
              <w:t>9%</w:t>
            </w:r>
          </w:p>
        </w:tc>
        <w:tc>
          <w:tcPr>
            <w:tcW w:w="1868" w:type="dxa"/>
          </w:tcPr>
          <w:p w14:paraId="6FA5D14B" w14:textId="47B0D3DB" w:rsidR="002E23CE" w:rsidRDefault="002E23CE">
            <w:r>
              <w:t>6%</w:t>
            </w:r>
          </w:p>
        </w:tc>
        <w:tc>
          <w:tcPr>
            <w:tcW w:w="1868" w:type="dxa"/>
          </w:tcPr>
          <w:p w14:paraId="475B17F1" w14:textId="5EC26433" w:rsidR="002E23CE" w:rsidRDefault="002E23CE">
            <w:r>
              <w:t>5%</w:t>
            </w:r>
          </w:p>
        </w:tc>
        <w:tc>
          <w:tcPr>
            <w:tcW w:w="1868" w:type="dxa"/>
          </w:tcPr>
          <w:p w14:paraId="0CB24F65" w14:textId="628AD2F7" w:rsidR="002E23CE" w:rsidRDefault="002E23CE">
            <w:r>
              <w:t>4%</w:t>
            </w:r>
          </w:p>
        </w:tc>
        <w:tc>
          <w:tcPr>
            <w:tcW w:w="1868" w:type="dxa"/>
          </w:tcPr>
          <w:p w14:paraId="2F9C9D2D" w14:textId="02CC30CA" w:rsidR="002E23CE" w:rsidRDefault="002E23CE">
            <w:r>
              <w:t>4%</w:t>
            </w:r>
          </w:p>
        </w:tc>
      </w:tr>
    </w:tbl>
    <w:p w14:paraId="31315107" w14:textId="77777777" w:rsidR="002E23CE" w:rsidRDefault="002E23CE"/>
    <w:p w14:paraId="43AC8C4B" w14:textId="77777777" w:rsidR="002E23CE" w:rsidRDefault="002E23CE"/>
    <w:p w14:paraId="09A657C0" w14:textId="6DB7F24E" w:rsidR="00313361" w:rsidRPr="00313361" w:rsidRDefault="00313361" w:rsidP="003706E0">
      <w:pPr>
        <w:outlineLvl w:val="0"/>
        <w:rPr>
          <w:b/>
        </w:rPr>
      </w:pPr>
      <w:r w:rsidRPr="00313361">
        <w:rPr>
          <w:b/>
        </w:rPr>
        <w:t>Расходы проекта</w:t>
      </w:r>
    </w:p>
    <w:p w14:paraId="4D812010" w14:textId="77777777" w:rsidR="00313361" w:rsidRDefault="00313361"/>
    <w:p w14:paraId="58AD928C" w14:textId="521A0A84" w:rsidR="00F75DF3" w:rsidRDefault="000216E5" w:rsidP="00DF78BA">
      <w:pPr>
        <w:jc w:val="both"/>
      </w:pPr>
      <w:r>
        <w:t>Переменные затраты</w:t>
      </w:r>
      <w:r w:rsidR="00313361">
        <w:t xml:space="preserve"> на производство одной единицы продукции в среднем имеют такую структуру:</w:t>
      </w:r>
    </w:p>
    <w:p w14:paraId="76EA2FF2" w14:textId="4894725B" w:rsidR="00313361" w:rsidRDefault="00313361" w:rsidP="00DF78BA">
      <w:pPr>
        <w:pStyle w:val="a3"/>
        <w:numPr>
          <w:ilvl w:val="0"/>
          <w:numId w:val="2"/>
        </w:numPr>
        <w:jc w:val="both"/>
      </w:pPr>
      <w:r>
        <w:t>Технологические газы и расходные материалы: 21 тыс. руб. на шт.</w:t>
      </w:r>
    </w:p>
    <w:p w14:paraId="3C99F587" w14:textId="054F92D5" w:rsidR="000216E5" w:rsidRDefault="000216E5" w:rsidP="00DF78BA">
      <w:pPr>
        <w:pStyle w:val="a3"/>
        <w:numPr>
          <w:ilvl w:val="0"/>
          <w:numId w:val="2"/>
        </w:numPr>
        <w:jc w:val="both"/>
      </w:pPr>
      <w:r>
        <w:t>Обработка</w:t>
      </w:r>
      <w:r w:rsidR="00313361">
        <w:t>:</w:t>
      </w:r>
      <w:r>
        <w:t xml:space="preserve"> 250 долларов</w:t>
      </w:r>
      <w:r w:rsidR="00313361">
        <w:t xml:space="preserve"> США на шт.</w:t>
      </w:r>
    </w:p>
    <w:p w14:paraId="15DBDC87" w14:textId="77777777" w:rsidR="00F75DF3" w:rsidRDefault="00F75DF3" w:rsidP="00DF78BA">
      <w:pPr>
        <w:jc w:val="both"/>
      </w:pPr>
    </w:p>
    <w:p w14:paraId="6A5F9FFB" w14:textId="43388B3A" w:rsidR="00CE6BC0" w:rsidRDefault="00CE6BC0" w:rsidP="00DF78BA">
      <w:pPr>
        <w:jc w:val="both"/>
      </w:pPr>
      <w:r>
        <w:t>Известно, что производственный цикл создания кристаллов составляет около 5 дней, для бесперебойного производства формируются в среднем запасы сырья и материалов на 30 дней, а готовая продукция будет храниться три недели.</w:t>
      </w:r>
    </w:p>
    <w:p w14:paraId="3655D1DE" w14:textId="22E67DF3" w:rsidR="00CE6BC0" w:rsidRDefault="00CE6BC0" w:rsidP="00DF78BA">
      <w:pPr>
        <w:jc w:val="both"/>
      </w:pPr>
      <w:r>
        <w:t xml:space="preserve">Оплата частично приходит в форме авансов, в результате у компании образуются полученные авансы в размере оборота за 3-5 дней, но главным образом деньги приходят после отгрузки и средняя дебиторская задолженность составит 15-20 дней. </w:t>
      </w:r>
    </w:p>
    <w:p w14:paraId="1560F8AF" w14:textId="77777777" w:rsidR="00CE6BC0" w:rsidRDefault="00CE6BC0" w:rsidP="00DF78BA">
      <w:pPr>
        <w:jc w:val="both"/>
      </w:pPr>
    </w:p>
    <w:p w14:paraId="342C04D3" w14:textId="3EB4976A" w:rsidR="00CE6BC0" w:rsidRDefault="00CE6BC0" w:rsidP="00DF78BA">
      <w:pPr>
        <w:jc w:val="both"/>
      </w:pPr>
      <w:r>
        <w:t xml:space="preserve">План по персоналу компании приведен в таблице. Весь производственный персонал должен приступить к работе со второго года проекта. </w:t>
      </w:r>
      <w:r w:rsidR="00003102">
        <w:t>Административный персонал начинает работу с первого года и в течение инвестиционного периода готовит начало производства и взаимодействует с подрядчиками.</w:t>
      </w:r>
    </w:p>
    <w:p w14:paraId="17C1DFAE" w14:textId="77777777" w:rsidR="00CE6BC0" w:rsidRDefault="00CE6BC0"/>
    <w:tbl>
      <w:tblPr>
        <w:tblStyle w:val="-41"/>
        <w:tblW w:w="0" w:type="auto"/>
        <w:tblLook w:val="0460" w:firstRow="1" w:lastRow="1" w:firstColumn="0" w:lastColumn="0" w:noHBand="0" w:noVBand="1"/>
      </w:tblPr>
      <w:tblGrid>
        <w:gridCol w:w="5742"/>
        <w:gridCol w:w="2026"/>
        <w:gridCol w:w="1571"/>
      </w:tblGrid>
      <w:tr w:rsidR="00CE6BC0" w:rsidRPr="00CE6BC0" w14:paraId="53C0A611" w14:textId="77777777" w:rsidTr="0065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0" w:type="auto"/>
            <w:vMerge w:val="restart"/>
          </w:tcPr>
          <w:p w14:paraId="43E17350" w14:textId="77777777" w:rsidR="00CE6BC0" w:rsidRPr="00CE6BC0" w:rsidRDefault="00CE6BC0" w:rsidP="00DF78BA">
            <w:pPr>
              <w:keepNext/>
            </w:pPr>
            <w:r w:rsidRPr="00CE6BC0">
              <w:lastRenderedPageBreak/>
              <w:t>Наименование</w:t>
            </w:r>
          </w:p>
        </w:tc>
        <w:tc>
          <w:tcPr>
            <w:tcW w:w="0" w:type="auto"/>
            <w:vMerge w:val="restart"/>
          </w:tcPr>
          <w:p w14:paraId="3B1191B0" w14:textId="77777777" w:rsidR="00CE6BC0" w:rsidRPr="00CE6BC0" w:rsidRDefault="00CE6BC0" w:rsidP="00DF78BA">
            <w:pPr>
              <w:keepNext/>
              <w:jc w:val="center"/>
            </w:pPr>
            <w:r w:rsidRPr="00CE6BC0">
              <w:t>Оклад, тыс. руб.</w:t>
            </w:r>
          </w:p>
        </w:tc>
        <w:tc>
          <w:tcPr>
            <w:tcW w:w="0" w:type="auto"/>
            <w:vMerge w:val="restart"/>
          </w:tcPr>
          <w:p w14:paraId="2C0EEDAC" w14:textId="77777777" w:rsidR="00CE6BC0" w:rsidRPr="00CE6BC0" w:rsidRDefault="00CE6BC0" w:rsidP="00DF78BA">
            <w:pPr>
              <w:keepNext/>
              <w:jc w:val="center"/>
            </w:pPr>
            <w:r w:rsidRPr="00CE6BC0">
              <w:t>Кол-во, чел.</w:t>
            </w:r>
          </w:p>
        </w:tc>
      </w:tr>
      <w:tr w:rsidR="00CE6BC0" w:rsidRPr="00CE6BC0" w14:paraId="7FA3CAA0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0" w:type="auto"/>
            <w:vMerge/>
          </w:tcPr>
          <w:p w14:paraId="20AFB810" w14:textId="77777777" w:rsidR="00CE6BC0" w:rsidRPr="00CE6BC0" w:rsidRDefault="00CE6BC0" w:rsidP="00DF78BA">
            <w:pPr>
              <w:keepNext/>
            </w:pPr>
          </w:p>
        </w:tc>
        <w:tc>
          <w:tcPr>
            <w:tcW w:w="0" w:type="auto"/>
            <w:vMerge/>
          </w:tcPr>
          <w:p w14:paraId="10350825" w14:textId="77777777" w:rsidR="00CE6BC0" w:rsidRPr="00CE6BC0" w:rsidRDefault="00CE6BC0" w:rsidP="00DF78BA">
            <w:pPr>
              <w:keepNext/>
              <w:jc w:val="center"/>
            </w:pPr>
          </w:p>
        </w:tc>
        <w:tc>
          <w:tcPr>
            <w:tcW w:w="0" w:type="auto"/>
            <w:vMerge/>
          </w:tcPr>
          <w:p w14:paraId="5D862E1C" w14:textId="77777777" w:rsidR="00CE6BC0" w:rsidRPr="00CE6BC0" w:rsidRDefault="00CE6BC0" w:rsidP="00DF78BA">
            <w:pPr>
              <w:keepNext/>
              <w:jc w:val="center"/>
            </w:pPr>
          </w:p>
        </w:tc>
      </w:tr>
      <w:tr w:rsidR="00CE6BC0" w:rsidRPr="00CE6BC0" w14:paraId="4C82A9BB" w14:textId="77777777" w:rsidTr="00651A81">
        <w:tc>
          <w:tcPr>
            <w:tcW w:w="0" w:type="auto"/>
            <w:gridSpan w:val="3"/>
          </w:tcPr>
          <w:p w14:paraId="49A14FE4" w14:textId="77777777" w:rsidR="00CE6BC0" w:rsidRPr="00CE6BC0" w:rsidRDefault="00CE6BC0" w:rsidP="00DF78BA">
            <w:pPr>
              <w:keepNext/>
              <w:jc w:val="center"/>
              <w:rPr>
                <w:b/>
              </w:rPr>
            </w:pPr>
            <w:r w:rsidRPr="00CE6BC0">
              <w:rPr>
                <w:b/>
              </w:rPr>
              <w:t>Производственный персонал</w:t>
            </w:r>
          </w:p>
        </w:tc>
      </w:tr>
      <w:tr w:rsidR="00CE6BC0" w:rsidRPr="00CE6BC0" w14:paraId="30F593AC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BB644D9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Директор по производству</w:t>
            </w:r>
          </w:p>
        </w:tc>
        <w:tc>
          <w:tcPr>
            <w:tcW w:w="0" w:type="auto"/>
          </w:tcPr>
          <w:p w14:paraId="2A7C1179" w14:textId="77777777" w:rsidR="00CE6BC0" w:rsidRPr="00CE6BC0" w:rsidRDefault="00CE6BC0" w:rsidP="00651A81">
            <w:pPr>
              <w:jc w:val="center"/>
            </w:pPr>
            <w:r w:rsidRPr="00CE6BC0">
              <w:t>100</w:t>
            </w:r>
          </w:p>
        </w:tc>
        <w:tc>
          <w:tcPr>
            <w:tcW w:w="0" w:type="auto"/>
          </w:tcPr>
          <w:p w14:paraId="74B72439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3678E8C6" w14:textId="77777777" w:rsidTr="00651A81">
        <w:tc>
          <w:tcPr>
            <w:tcW w:w="0" w:type="auto"/>
          </w:tcPr>
          <w:p w14:paraId="582EF5CA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Диспетчер</w:t>
            </w:r>
          </w:p>
        </w:tc>
        <w:tc>
          <w:tcPr>
            <w:tcW w:w="0" w:type="auto"/>
          </w:tcPr>
          <w:p w14:paraId="1C982B17" w14:textId="77777777" w:rsidR="00CE6BC0" w:rsidRPr="00CE6BC0" w:rsidRDefault="00CE6BC0" w:rsidP="00651A81">
            <w:pPr>
              <w:jc w:val="center"/>
            </w:pPr>
            <w:r w:rsidRPr="00CE6BC0">
              <w:t>20</w:t>
            </w:r>
          </w:p>
        </w:tc>
        <w:tc>
          <w:tcPr>
            <w:tcW w:w="0" w:type="auto"/>
          </w:tcPr>
          <w:p w14:paraId="14B9C9A1" w14:textId="77777777" w:rsidR="00CE6BC0" w:rsidRPr="00CE6BC0" w:rsidRDefault="00CE6BC0" w:rsidP="00651A81">
            <w:pPr>
              <w:jc w:val="center"/>
            </w:pPr>
            <w:r w:rsidRPr="00CE6BC0">
              <w:t>5</w:t>
            </w:r>
          </w:p>
        </w:tc>
      </w:tr>
      <w:tr w:rsidR="00CE6BC0" w:rsidRPr="00CE6BC0" w14:paraId="713A5435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786D21D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Контролер-логистик</w:t>
            </w:r>
          </w:p>
        </w:tc>
        <w:tc>
          <w:tcPr>
            <w:tcW w:w="0" w:type="auto"/>
          </w:tcPr>
          <w:p w14:paraId="6A3788BC" w14:textId="77777777" w:rsidR="00CE6BC0" w:rsidRPr="00CE6BC0" w:rsidRDefault="00CE6BC0" w:rsidP="00651A81">
            <w:pPr>
              <w:jc w:val="center"/>
            </w:pPr>
            <w:r w:rsidRPr="00CE6BC0">
              <w:t>35</w:t>
            </w:r>
          </w:p>
        </w:tc>
        <w:tc>
          <w:tcPr>
            <w:tcW w:w="0" w:type="auto"/>
          </w:tcPr>
          <w:p w14:paraId="6F858B35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076B1168" w14:textId="77777777" w:rsidTr="00651A81">
        <w:tc>
          <w:tcPr>
            <w:tcW w:w="0" w:type="auto"/>
          </w:tcPr>
          <w:p w14:paraId="65BD5B14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Кладовщик</w:t>
            </w:r>
          </w:p>
        </w:tc>
        <w:tc>
          <w:tcPr>
            <w:tcW w:w="0" w:type="auto"/>
          </w:tcPr>
          <w:p w14:paraId="2C5C08C6" w14:textId="77777777" w:rsidR="00CE6BC0" w:rsidRPr="00CE6BC0" w:rsidRDefault="00CE6BC0" w:rsidP="00651A81">
            <w:pPr>
              <w:jc w:val="center"/>
            </w:pPr>
            <w:r w:rsidRPr="00CE6BC0">
              <w:t>25</w:t>
            </w:r>
          </w:p>
        </w:tc>
        <w:tc>
          <w:tcPr>
            <w:tcW w:w="0" w:type="auto"/>
          </w:tcPr>
          <w:p w14:paraId="61C96D18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66C0E639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1877489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Уборщица</w:t>
            </w:r>
          </w:p>
        </w:tc>
        <w:tc>
          <w:tcPr>
            <w:tcW w:w="0" w:type="auto"/>
          </w:tcPr>
          <w:p w14:paraId="348E76A0" w14:textId="77777777" w:rsidR="00CE6BC0" w:rsidRPr="00CE6BC0" w:rsidRDefault="00CE6BC0" w:rsidP="00651A81">
            <w:pPr>
              <w:jc w:val="center"/>
            </w:pPr>
            <w:r w:rsidRPr="00CE6BC0">
              <w:t>20</w:t>
            </w:r>
          </w:p>
        </w:tc>
        <w:tc>
          <w:tcPr>
            <w:tcW w:w="0" w:type="auto"/>
          </w:tcPr>
          <w:p w14:paraId="58699D35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2C22B597" w14:textId="77777777" w:rsidTr="00651A81">
        <w:tc>
          <w:tcPr>
            <w:tcW w:w="0" w:type="auto"/>
          </w:tcPr>
          <w:p w14:paraId="114D0F19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Главный инженер</w:t>
            </w:r>
          </w:p>
        </w:tc>
        <w:tc>
          <w:tcPr>
            <w:tcW w:w="0" w:type="auto"/>
          </w:tcPr>
          <w:p w14:paraId="5448E542" w14:textId="77777777" w:rsidR="00CE6BC0" w:rsidRPr="00CE6BC0" w:rsidRDefault="00CE6BC0" w:rsidP="00651A81">
            <w:pPr>
              <w:jc w:val="center"/>
            </w:pPr>
            <w:r w:rsidRPr="00CE6BC0">
              <w:t>60</w:t>
            </w:r>
          </w:p>
        </w:tc>
        <w:tc>
          <w:tcPr>
            <w:tcW w:w="0" w:type="auto"/>
          </w:tcPr>
          <w:p w14:paraId="0B8FF124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6C6DA297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A9D2E95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Мастер инженерного обеспечения</w:t>
            </w:r>
          </w:p>
        </w:tc>
        <w:tc>
          <w:tcPr>
            <w:tcW w:w="0" w:type="auto"/>
          </w:tcPr>
          <w:p w14:paraId="0B10E3F9" w14:textId="77777777" w:rsidR="00CE6BC0" w:rsidRPr="00CE6BC0" w:rsidRDefault="00CE6BC0" w:rsidP="00651A81">
            <w:pPr>
              <w:jc w:val="center"/>
            </w:pPr>
            <w:r w:rsidRPr="00CE6BC0">
              <w:t>30</w:t>
            </w:r>
          </w:p>
        </w:tc>
        <w:tc>
          <w:tcPr>
            <w:tcW w:w="0" w:type="auto"/>
          </w:tcPr>
          <w:p w14:paraId="220672C5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098ACB78" w14:textId="77777777" w:rsidTr="00651A81">
        <w:tc>
          <w:tcPr>
            <w:tcW w:w="0" w:type="auto"/>
          </w:tcPr>
          <w:p w14:paraId="45036F72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Водитель</w:t>
            </w:r>
          </w:p>
        </w:tc>
        <w:tc>
          <w:tcPr>
            <w:tcW w:w="0" w:type="auto"/>
          </w:tcPr>
          <w:p w14:paraId="2FD7342B" w14:textId="77777777" w:rsidR="00CE6BC0" w:rsidRPr="00CE6BC0" w:rsidRDefault="00CE6BC0" w:rsidP="00651A81">
            <w:pPr>
              <w:jc w:val="center"/>
            </w:pPr>
            <w:r w:rsidRPr="00CE6BC0">
              <w:t>35</w:t>
            </w:r>
          </w:p>
        </w:tc>
        <w:tc>
          <w:tcPr>
            <w:tcW w:w="0" w:type="auto"/>
          </w:tcPr>
          <w:p w14:paraId="6DF92199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158183D6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CAC68D3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Инженер подготовки роста-нач. участка</w:t>
            </w:r>
          </w:p>
        </w:tc>
        <w:tc>
          <w:tcPr>
            <w:tcW w:w="0" w:type="auto"/>
          </w:tcPr>
          <w:p w14:paraId="6D3E4343" w14:textId="77777777" w:rsidR="00CE6BC0" w:rsidRPr="00CE6BC0" w:rsidRDefault="00CE6BC0" w:rsidP="00651A81">
            <w:pPr>
              <w:jc w:val="center"/>
            </w:pPr>
            <w:r w:rsidRPr="00CE6BC0">
              <w:t>80</w:t>
            </w:r>
          </w:p>
        </w:tc>
        <w:tc>
          <w:tcPr>
            <w:tcW w:w="0" w:type="auto"/>
          </w:tcPr>
          <w:p w14:paraId="08A74EAA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256451A3" w14:textId="77777777" w:rsidTr="00651A81">
        <w:tc>
          <w:tcPr>
            <w:tcW w:w="0" w:type="auto"/>
          </w:tcPr>
          <w:p w14:paraId="24AB6570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Техник-химик (участок подготовки затравки)</w:t>
            </w:r>
          </w:p>
        </w:tc>
        <w:tc>
          <w:tcPr>
            <w:tcW w:w="0" w:type="auto"/>
          </w:tcPr>
          <w:p w14:paraId="5E5F321B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05122D66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61FC1B8A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49C9ACE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Оператор роста</w:t>
            </w:r>
          </w:p>
        </w:tc>
        <w:tc>
          <w:tcPr>
            <w:tcW w:w="0" w:type="auto"/>
          </w:tcPr>
          <w:p w14:paraId="56EB9A57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278CDCB7" w14:textId="77777777" w:rsidR="00CE6BC0" w:rsidRPr="00CE6BC0" w:rsidRDefault="00CE6BC0" w:rsidP="00651A81">
            <w:pPr>
              <w:jc w:val="center"/>
            </w:pPr>
            <w:r w:rsidRPr="00CE6BC0">
              <w:t>5</w:t>
            </w:r>
          </w:p>
        </w:tc>
      </w:tr>
      <w:tr w:rsidR="00CE6BC0" w:rsidRPr="00CE6BC0" w14:paraId="5BB8A178" w14:textId="77777777" w:rsidTr="00651A81">
        <w:tc>
          <w:tcPr>
            <w:tcW w:w="0" w:type="auto"/>
          </w:tcPr>
          <w:p w14:paraId="1FB96CC7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Токарь-калибровщик</w:t>
            </w:r>
          </w:p>
        </w:tc>
        <w:tc>
          <w:tcPr>
            <w:tcW w:w="0" w:type="auto"/>
          </w:tcPr>
          <w:p w14:paraId="278EDA7F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2E610990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564CB774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5174F5C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Техник-резчик</w:t>
            </w:r>
          </w:p>
        </w:tc>
        <w:tc>
          <w:tcPr>
            <w:tcW w:w="0" w:type="auto"/>
          </w:tcPr>
          <w:p w14:paraId="7A4C634C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5F8A4382" w14:textId="77777777" w:rsidR="00CE6BC0" w:rsidRPr="00CE6BC0" w:rsidRDefault="00CE6BC0" w:rsidP="00651A81">
            <w:pPr>
              <w:jc w:val="center"/>
            </w:pPr>
            <w:r w:rsidRPr="00CE6BC0">
              <w:t>3</w:t>
            </w:r>
          </w:p>
        </w:tc>
      </w:tr>
      <w:tr w:rsidR="00CE6BC0" w:rsidRPr="00CE6BC0" w14:paraId="00477FAB" w14:textId="77777777" w:rsidTr="00651A81">
        <w:tc>
          <w:tcPr>
            <w:tcW w:w="0" w:type="auto"/>
          </w:tcPr>
          <w:p w14:paraId="5826C630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Процессный инженер- нач. участка эпитаксии</w:t>
            </w:r>
          </w:p>
        </w:tc>
        <w:tc>
          <w:tcPr>
            <w:tcW w:w="0" w:type="auto"/>
          </w:tcPr>
          <w:p w14:paraId="628E129A" w14:textId="77777777" w:rsidR="00CE6BC0" w:rsidRPr="00CE6BC0" w:rsidRDefault="00CE6BC0" w:rsidP="00651A81">
            <w:pPr>
              <w:jc w:val="center"/>
            </w:pPr>
            <w:r w:rsidRPr="00CE6BC0">
              <w:t>80</w:t>
            </w:r>
          </w:p>
        </w:tc>
        <w:tc>
          <w:tcPr>
            <w:tcW w:w="0" w:type="auto"/>
          </w:tcPr>
          <w:p w14:paraId="7F6C7EC0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42F6FBC2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1F97699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Оператор эпитаксии</w:t>
            </w:r>
          </w:p>
        </w:tc>
        <w:tc>
          <w:tcPr>
            <w:tcW w:w="0" w:type="auto"/>
          </w:tcPr>
          <w:p w14:paraId="6A479D41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5868AE63" w14:textId="77777777" w:rsidR="00CE6BC0" w:rsidRPr="00CE6BC0" w:rsidRDefault="00CE6BC0" w:rsidP="00651A81">
            <w:pPr>
              <w:jc w:val="center"/>
            </w:pPr>
            <w:r w:rsidRPr="00CE6BC0">
              <w:t>2</w:t>
            </w:r>
          </w:p>
        </w:tc>
      </w:tr>
      <w:tr w:rsidR="00CE6BC0" w:rsidRPr="00CE6BC0" w14:paraId="29324CFF" w14:textId="77777777" w:rsidTr="00651A81">
        <w:tc>
          <w:tcPr>
            <w:tcW w:w="0" w:type="auto"/>
          </w:tcPr>
          <w:p w14:paraId="18251B9E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Инженер участка шлифования-полирования</w:t>
            </w:r>
          </w:p>
        </w:tc>
        <w:tc>
          <w:tcPr>
            <w:tcW w:w="0" w:type="auto"/>
          </w:tcPr>
          <w:p w14:paraId="62A14394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5FAA7408" w14:textId="77777777" w:rsidR="00CE6BC0" w:rsidRPr="00CE6BC0" w:rsidRDefault="00CE6BC0" w:rsidP="00651A81">
            <w:pPr>
              <w:jc w:val="center"/>
            </w:pPr>
            <w:r w:rsidRPr="00CE6BC0">
              <w:t>3</w:t>
            </w:r>
          </w:p>
        </w:tc>
      </w:tr>
      <w:tr w:rsidR="00CE6BC0" w:rsidRPr="00CE6BC0" w14:paraId="16281DBF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9C0904E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Инженер участка химико-механической полировки</w:t>
            </w:r>
          </w:p>
        </w:tc>
        <w:tc>
          <w:tcPr>
            <w:tcW w:w="0" w:type="auto"/>
          </w:tcPr>
          <w:p w14:paraId="3B6CC69F" w14:textId="77777777" w:rsidR="00CE6BC0" w:rsidRPr="00CE6BC0" w:rsidRDefault="00CE6BC0" w:rsidP="00651A81">
            <w:pPr>
              <w:jc w:val="center"/>
            </w:pPr>
            <w:r w:rsidRPr="00CE6BC0">
              <w:t>40</w:t>
            </w:r>
          </w:p>
        </w:tc>
        <w:tc>
          <w:tcPr>
            <w:tcW w:w="0" w:type="auto"/>
          </w:tcPr>
          <w:p w14:paraId="570C83C6" w14:textId="77777777" w:rsidR="00CE6BC0" w:rsidRPr="00CE6BC0" w:rsidRDefault="00CE6BC0" w:rsidP="00651A81">
            <w:pPr>
              <w:jc w:val="center"/>
            </w:pPr>
            <w:r w:rsidRPr="00CE6BC0">
              <w:t>3</w:t>
            </w:r>
          </w:p>
        </w:tc>
      </w:tr>
      <w:tr w:rsidR="00CE6BC0" w:rsidRPr="00CE6BC0" w14:paraId="23F1FE54" w14:textId="77777777" w:rsidTr="00651A81">
        <w:tc>
          <w:tcPr>
            <w:tcW w:w="0" w:type="auto"/>
          </w:tcPr>
          <w:p w14:paraId="1C09E18F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Инженер контрольно-измерительной лаборатории</w:t>
            </w:r>
          </w:p>
        </w:tc>
        <w:tc>
          <w:tcPr>
            <w:tcW w:w="0" w:type="auto"/>
          </w:tcPr>
          <w:p w14:paraId="421EF521" w14:textId="77777777" w:rsidR="00CE6BC0" w:rsidRPr="00CE6BC0" w:rsidRDefault="00CE6BC0" w:rsidP="00651A81">
            <w:pPr>
              <w:jc w:val="center"/>
            </w:pPr>
            <w:r w:rsidRPr="00CE6BC0">
              <w:t>70</w:t>
            </w:r>
          </w:p>
        </w:tc>
        <w:tc>
          <w:tcPr>
            <w:tcW w:w="0" w:type="auto"/>
          </w:tcPr>
          <w:p w14:paraId="38AEC616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1B84A97F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</w:tcPr>
          <w:p w14:paraId="15B6A92C" w14:textId="77777777" w:rsidR="00CE6BC0" w:rsidRPr="00CE6BC0" w:rsidRDefault="00CE6BC0" w:rsidP="00651A81">
            <w:pPr>
              <w:jc w:val="center"/>
              <w:rPr>
                <w:b/>
              </w:rPr>
            </w:pPr>
            <w:r w:rsidRPr="00CE6BC0">
              <w:rPr>
                <w:b/>
                <w:szCs w:val="16"/>
              </w:rPr>
              <w:t>Административно-управленческий персонал</w:t>
            </w:r>
          </w:p>
        </w:tc>
      </w:tr>
      <w:tr w:rsidR="00CE6BC0" w:rsidRPr="00CE6BC0" w14:paraId="6BF99BB7" w14:textId="77777777" w:rsidTr="00651A81">
        <w:tc>
          <w:tcPr>
            <w:tcW w:w="0" w:type="auto"/>
          </w:tcPr>
          <w:p w14:paraId="4B671C91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Генеральный директор</w:t>
            </w:r>
          </w:p>
        </w:tc>
        <w:tc>
          <w:tcPr>
            <w:tcW w:w="0" w:type="auto"/>
          </w:tcPr>
          <w:p w14:paraId="4DBFBFB1" w14:textId="77777777" w:rsidR="00CE6BC0" w:rsidRPr="00CE6BC0" w:rsidRDefault="00CE6BC0" w:rsidP="00651A81">
            <w:pPr>
              <w:jc w:val="center"/>
            </w:pPr>
            <w:r w:rsidRPr="00CE6BC0">
              <w:t>180</w:t>
            </w:r>
          </w:p>
        </w:tc>
        <w:tc>
          <w:tcPr>
            <w:tcW w:w="0" w:type="auto"/>
          </w:tcPr>
          <w:p w14:paraId="5029BB0C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68EE3D53" w14:textId="77777777" w:rsidTr="0065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1D7ABF2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Помощник генерального директора</w:t>
            </w:r>
          </w:p>
        </w:tc>
        <w:tc>
          <w:tcPr>
            <w:tcW w:w="0" w:type="auto"/>
          </w:tcPr>
          <w:p w14:paraId="29EC557B" w14:textId="77777777" w:rsidR="00CE6BC0" w:rsidRPr="00CE6BC0" w:rsidRDefault="00CE6BC0" w:rsidP="00651A81">
            <w:pPr>
              <w:jc w:val="center"/>
            </w:pPr>
            <w:r w:rsidRPr="00CE6BC0">
              <w:t>60</w:t>
            </w:r>
          </w:p>
        </w:tc>
        <w:tc>
          <w:tcPr>
            <w:tcW w:w="0" w:type="auto"/>
          </w:tcPr>
          <w:p w14:paraId="6A981F1B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3A467A11" w14:textId="77777777" w:rsidTr="00651A81">
        <w:tc>
          <w:tcPr>
            <w:tcW w:w="0" w:type="auto"/>
          </w:tcPr>
          <w:p w14:paraId="16B39649" w14:textId="77777777" w:rsidR="00CE6BC0" w:rsidRP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Бухгалтер</w:t>
            </w:r>
          </w:p>
        </w:tc>
        <w:tc>
          <w:tcPr>
            <w:tcW w:w="0" w:type="auto"/>
          </w:tcPr>
          <w:p w14:paraId="02992F09" w14:textId="77777777" w:rsidR="00CE6BC0" w:rsidRPr="00CE6BC0" w:rsidRDefault="00CE6BC0" w:rsidP="00651A81">
            <w:pPr>
              <w:jc w:val="center"/>
            </w:pPr>
            <w:r w:rsidRPr="00CE6BC0">
              <w:t>60</w:t>
            </w:r>
          </w:p>
        </w:tc>
        <w:tc>
          <w:tcPr>
            <w:tcW w:w="0" w:type="auto"/>
          </w:tcPr>
          <w:p w14:paraId="49AE2ECE" w14:textId="77777777" w:rsidR="00CE6BC0" w:rsidRPr="00CE6BC0" w:rsidRDefault="00CE6BC0" w:rsidP="00651A81">
            <w:pPr>
              <w:jc w:val="center"/>
            </w:pPr>
            <w:r w:rsidRPr="00CE6BC0">
              <w:t>1</w:t>
            </w:r>
          </w:p>
        </w:tc>
      </w:tr>
      <w:tr w:rsidR="00CE6BC0" w:rsidRPr="00CE6BC0" w14:paraId="52805346" w14:textId="77777777" w:rsidTr="00DF78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0" w:type="auto"/>
          </w:tcPr>
          <w:p w14:paraId="614125A4" w14:textId="1B4DF905" w:rsidR="00CE6BC0" w:rsidRDefault="00CE6BC0" w:rsidP="00CE6BC0">
            <w:pPr>
              <w:rPr>
                <w:szCs w:val="16"/>
              </w:rPr>
            </w:pPr>
            <w:r w:rsidRPr="00CE6BC0">
              <w:rPr>
                <w:szCs w:val="16"/>
              </w:rPr>
              <w:t>ИТОГО</w:t>
            </w:r>
            <w:r w:rsidR="00DF78BA">
              <w:rPr>
                <w:szCs w:val="16"/>
              </w:rPr>
              <w:t>, чел.</w:t>
            </w:r>
          </w:p>
          <w:p w14:paraId="3CC5B7DE" w14:textId="2198F063" w:rsidR="00DF78BA" w:rsidRPr="00CE6BC0" w:rsidRDefault="00DF78BA" w:rsidP="00CE6BC0">
            <w:pPr>
              <w:rPr>
                <w:szCs w:val="16"/>
              </w:rPr>
            </w:pPr>
            <w:r>
              <w:rPr>
                <w:szCs w:val="16"/>
              </w:rPr>
              <w:t>СУММАРНАЯ ЗАРПЛАТА, тыс. руб. в мес.</w:t>
            </w:r>
          </w:p>
        </w:tc>
        <w:tc>
          <w:tcPr>
            <w:tcW w:w="0" w:type="auto"/>
          </w:tcPr>
          <w:p w14:paraId="034AC968" w14:textId="77777777" w:rsidR="00CE6BC0" w:rsidRDefault="00CE6BC0" w:rsidP="00651A81">
            <w:pPr>
              <w:jc w:val="center"/>
            </w:pPr>
          </w:p>
          <w:p w14:paraId="082B8363" w14:textId="674DAE4F" w:rsidR="00DF78BA" w:rsidRPr="00CE6BC0" w:rsidRDefault="00DF78BA" w:rsidP="00651A81">
            <w:pPr>
              <w:jc w:val="center"/>
            </w:pPr>
            <w:r>
              <w:t>1 655</w:t>
            </w:r>
          </w:p>
        </w:tc>
        <w:tc>
          <w:tcPr>
            <w:tcW w:w="0" w:type="auto"/>
          </w:tcPr>
          <w:p w14:paraId="085C283D" w14:textId="77777777" w:rsidR="00CE6BC0" w:rsidRPr="00CE6BC0" w:rsidRDefault="00CE6BC0" w:rsidP="00651A81">
            <w:pPr>
              <w:jc w:val="center"/>
            </w:pPr>
            <w:r w:rsidRPr="00CE6BC0">
              <w:t>36</w:t>
            </w:r>
          </w:p>
        </w:tc>
      </w:tr>
    </w:tbl>
    <w:p w14:paraId="71894350" w14:textId="77777777" w:rsidR="00CE6BC0" w:rsidRDefault="00CE6BC0"/>
    <w:p w14:paraId="3E1FC701" w14:textId="222AE6D2" w:rsidR="00651A81" w:rsidRDefault="000216E5" w:rsidP="00DF78BA">
      <w:pPr>
        <w:jc w:val="both"/>
      </w:pPr>
      <w:r>
        <w:t>Постоянные затраты</w:t>
      </w:r>
      <w:r w:rsidR="00651A81">
        <w:t xml:space="preserve"> появляются с 2017 года, то есть с момента начала производства, и меняются только с инфляцией. Расходы в таблице указаны в ценах на сегодняшний день, без НДС.</w:t>
      </w:r>
      <w:r w:rsidR="00364135">
        <w:t xml:space="preserve"> Аренда оплачивается со второго квартала проекта, остальные издержки появляются с 2017 года.</w:t>
      </w:r>
      <w:r w:rsidR="00364135">
        <w:tab/>
      </w:r>
    </w:p>
    <w:p w14:paraId="11A92734" w14:textId="77777777" w:rsidR="00651A81" w:rsidRDefault="00651A81"/>
    <w:tbl>
      <w:tblPr>
        <w:tblStyle w:val="-41"/>
        <w:tblW w:w="0" w:type="auto"/>
        <w:tblLook w:val="0460" w:firstRow="1" w:lastRow="1" w:firstColumn="0" w:lastColumn="0" w:noHBand="0" w:noVBand="1"/>
      </w:tblPr>
      <w:tblGrid>
        <w:gridCol w:w="5005"/>
        <w:gridCol w:w="3243"/>
      </w:tblGrid>
      <w:tr w:rsidR="00651A81" w:rsidRPr="00CE6BC0" w14:paraId="1DBA3E91" w14:textId="77777777" w:rsidTr="00CA6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0" w:type="auto"/>
            <w:vMerge w:val="restart"/>
          </w:tcPr>
          <w:p w14:paraId="2151C28B" w14:textId="77777777" w:rsidR="00651A81" w:rsidRPr="00CE6BC0" w:rsidRDefault="00651A81" w:rsidP="00CA61C2">
            <w:r w:rsidRPr="00CE6BC0">
              <w:t>Наименование</w:t>
            </w:r>
          </w:p>
        </w:tc>
        <w:tc>
          <w:tcPr>
            <w:tcW w:w="0" w:type="auto"/>
            <w:vMerge w:val="restart"/>
          </w:tcPr>
          <w:p w14:paraId="58A1215E" w14:textId="2EB4E000" w:rsidR="00651A81" w:rsidRPr="00CE6BC0" w:rsidRDefault="00651A81" w:rsidP="00CA61C2">
            <w:pPr>
              <w:jc w:val="center"/>
            </w:pPr>
            <w:r>
              <w:t>Сумма в квартал</w:t>
            </w:r>
            <w:r w:rsidRPr="00CE6BC0">
              <w:t>, тыс. руб.</w:t>
            </w:r>
          </w:p>
        </w:tc>
      </w:tr>
      <w:tr w:rsidR="00651A81" w:rsidRPr="00CE6BC0" w14:paraId="0A7A0A48" w14:textId="77777777" w:rsidTr="00CA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0" w:type="auto"/>
            <w:vMerge/>
          </w:tcPr>
          <w:p w14:paraId="0CFF126D" w14:textId="77777777" w:rsidR="00651A81" w:rsidRPr="00CE6BC0" w:rsidRDefault="00651A81" w:rsidP="00CA61C2"/>
        </w:tc>
        <w:tc>
          <w:tcPr>
            <w:tcW w:w="0" w:type="auto"/>
            <w:vMerge/>
          </w:tcPr>
          <w:p w14:paraId="30729998" w14:textId="77777777" w:rsidR="00651A81" w:rsidRPr="00CE6BC0" w:rsidRDefault="00651A81" w:rsidP="00CA61C2">
            <w:pPr>
              <w:jc w:val="center"/>
            </w:pPr>
          </w:p>
        </w:tc>
      </w:tr>
      <w:tr w:rsidR="00651A81" w:rsidRPr="00CE6BC0" w14:paraId="485E63C9" w14:textId="77777777" w:rsidTr="00CA61C2">
        <w:tc>
          <w:tcPr>
            <w:tcW w:w="0" w:type="auto"/>
          </w:tcPr>
          <w:p w14:paraId="401ACE75" w14:textId="1B43BE0A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Аренда производственных помещений</w:t>
            </w:r>
          </w:p>
        </w:tc>
        <w:tc>
          <w:tcPr>
            <w:tcW w:w="0" w:type="auto"/>
          </w:tcPr>
          <w:p w14:paraId="5F6F228A" w14:textId="2A1CD219" w:rsidR="00651A81" w:rsidRPr="00CE6BC0" w:rsidRDefault="00651A81" w:rsidP="00CA61C2">
            <w:pPr>
              <w:jc w:val="center"/>
            </w:pPr>
            <w:r>
              <w:t>1 445</w:t>
            </w:r>
          </w:p>
        </w:tc>
      </w:tr>
      <w:tr w:rsidR="00651A81" w:rsidRPr="00CE6BC0" w14:paraId="58989BE4" w14:textId="77777777" w:rsidTr="00CA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826EA50" w14:textId="6779FD2E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Поддержание климата (эл. энергия)</w:t>
            </w:r>
          </w:p>
        </w:tc>
        <w:tc>
          <w:tcPr>
            <w:tcW w:w="0" w:type="auto"/>
          </w:tcPr>
          <w:p w14:paraId="37F7E62A" w14:textId="7A5375B8" w:rsidR="00651A81" w:rsidRPr="00CE6BC0" w:rsidRDefault="00651A81" w:rsidP="00CA61C2">
            <w:pPr>
              <w:jc w:val="center"/>
            </w:pPr>
            <w:r>
              <w:t>1 555</w:t>
            </w:r>
          </w:p>
        </w:tc>
      </w:tr>
      <w:tr w:rsidR="00651A81" w:rsidRPr="00CE6BC0" w14:paraId="609EC224" w14:textId="77777777" w:rsidTr="00CA61C2">
        <w:tc>
          <w:tcPr>
            <w:tcW w:w="0" w:type="auto"/>
          </w:tcPr>
          <w:p w14:paraId="71A16400" w14:textId="7BB76F9F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Транспортные расходы</w:t>
            </w:r>
          </w:p>
        </w:tc>
        <w:tc>
          <w:tcPr>
            <w:tcW w:w="0" w:type="auto"/>
          </w:tcPr>
          <w:p w14:paraId="57863C99" w14:textId="6EE84BBF" w:rsidR="00651A81" w:rsidRPr="00CE6BC0" w:rsidRDefault="00651A81" w:rsidP="00CA61C2">
            <w:pPr>
              <w:jc w:val="center"/>
            </w:pPr>
            <w:r>
              <w:t>900</w:t>
            </w:r>
          </w:p>
        </w:tc>
      </w:tr>
      <w:tr w:rsidR="00651A81" w:rsidRPr="00CE6BC0" w14:paraId="18D710BF" w14:textId="77777777" w:rsidTr="00CA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58AD0BF" w14:textId="346FE386" w:rsidR="00651A81" w:rsidRPr="00651A81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 xml:space="preserve">Затраты на </w:t>
            </w:r>
            <w:r>
              <w:rPr>
                <w:szCs w:val="16"/>
                <w:lang w:val="en-US"/>
              </w:rPr>
              <w:t>IT</w:t>
            </w:r>
            <w:r w:rsidRPr="00651A81">
              <w:rPr>
                <w:szCs w:val="16"/>
              </w:rPr>
              <w:t xml:space="preserve">, </w:t>
            </w:r>
            <w:r>
              <w:rPr>
                <w:szCs w:val="16"/>
              </w:rPr>
              <w:t>обслуживание техники</w:t>
            </w:r>
          </w:p>
        </w:tc>
        <w:tc>
          <w:tcPr>
            <w:tcW w:w="0" w:type="auto"/>
          </w:tcPr>
          <w:p w14:paraId="7976F7EA" w14:textId="2E3F6862" w:rsidR="00651A81" w:rsidRPr="00CE6BC0" w:rsidRDefault="00651A81" w:rsidP="00CA61C2">
            <w:pPr>
              <w:jc w:val="center"/>
            </w:pPr>
            <w:r>
              <w:t>90</w:t>
            </w:r>
          </w:p>
        </w:tc>
      </w:tr>
      <w:tr w:rsidR="00651A81" w:rsidRPr="00CE6BC0" w14:paraId="39FB829A" w14:textId="77777777" w:rsidTr="00CA61C2">
        <w:tc>
          <w:tcPr>
            <w:tcW w:w="0" w:type="auto"/>
          </w:tcPr>
          <w:p w14:paraId="0DAA3AC5" w14:textId="7B012653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Услуги связи и охраны</w:t>
            </w:r>
          </w:p>
        </w:tc>
        <w:tc>
          <w:tcPr>
            <w:tcW w:w="0" w:type="auto"/>
          </w:tcPr>
          <w:p w14:paraId="569D40B3" w14:textId="3DDABDB4" w:rsidR="00651A81" w:rsidRPr="00CE6BC0" w:rsidRDefault="00651A81" w:rsidP="00CA61C2">
            <w:pPr>
              <w:jc w:val="center"/>
            </w:pPr>
            <w:r>
              <w:t>30</w:t>
            </w:r>
          </w:p>
        </w:tc>
      </w:tr>
      <w:tr w:rsidR="00651A81" w:rsidRPr="00CE6BC0" w14:paraId="55AFC28B" w14:textId="77777777" w:rsidTr="00CA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CE0ED6" w14:textId="4BECE378" w:rsidR="00651A81" w:rsidRPr="00651A81" w:rsidRDefault="00651A81" w:rsidP="00CA61C2">
            <w:pPr>
              <w:rPr>
                <w:b/>
                <w:szCs w:val="16"/>
              </w:rPr>
            </w:pPr>
            <w:r w:rsidRPr="00651A81">
              <w:rPr>
                <w:b/>
                <w:szCs w:val="16"/>
              </w:rPr>
              <w:t>Итого общепроизводственные издержки</w:t>
            </w:r>
          </w:p>
        </w:tc>
        <w:tc>
          <w:tcPr>
            <w:tcW w:w="0" w:type="auto"/>
          </w:tcPr>
          <w:p w14:paraId="7C1BE6C1" w14:textId="53E4F8F3" w:rsidR="00651A81" w:rsidRPr="00651A81" w:rsidRDefault="00651A81" w:rsidP="00651A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51A81">
              <w:rPr>
                <w:b/>
              </w:rPr>
              <w:t xml:space="preserve"> </w:t>
            </w:r>
            <w:r>
              <w:rPr>
                <w:b/>
              </w:rPr>
              <w:t>020</w:t>
            </w:r>
          </w:p>
        </w:tc>
      </w:tr>
      <w:tr w:rsidR="00651A81" w:rsidRPr="00CE6BC0" w14:paraId="77FE1753" w14:textId="77777777" w:rsidTr="00CA61C2">
        <w:tc>
          <w:tcPr>
            <w:tcW w:w="0" w:type="auto"/>
          </w:tcPr>
          <w:p w14:paraId="52C72F01" w14:textId="6F156053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Управленческие расходы</w:t>
            </w:r>
          </w:p>
        </w:tc>
        <w:tc>
          <w:tcPr>
            <w:tcW w:w="0" w:type="auto"/>
          </w:tcPr>
          <w:p w14:paraId="3E631168" w14:textId="3683B042" w:rsidR="00651A81" w:rsidRPr="00CE6BC0" w:rsidRDefault="00651A81" w:rsidP="00CA61C2">
            <w:pPr>
              <w:jc w:val="center"/>
            </w:pPr>
            <w:r>
              <w:t>200</w:t>
            </w:r>
          </w:p>
        </w:tc>
      </w:tr>
      <w:tr w:rsidR="00651A81" w:rsidRPr="00CE6BC0" w14:paraId="14BEDEB7" w14:textId="77777777" w:rsidTr="00CA6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9D1B6D2" w14:textId="5A05205A" w:rsidR="00651A81" w:rsidRPr="00CE6BC0" w:rsidRDefault="00651A81" w:rsidP="00CA61C2">
            <w:pPr>
              <w:rPr>
                <w:szCs w:val="16"/>
              </w:rPr>
            </w:pPr>
            <w:r>
              <w:rPr>
                <w:szCs w:val="16"/>
              </w:rPr>
              <w:t>Маркетинг</w:t>
            </w:r>
          </w:p>
        </w:tc>
        <w:tc>
          <w:tcPr>
            <w:tcW w:w="0" w:type="auto"/>
          </w:tcPr>
          <w:p w14:paraId="2D5F973E" w14:textId="259901B7" w:rsidR="00651A81" w:rsidRPr="00CE6BC0" w:rsidRDefault="00651A81" w:rsidP="00CA61C2">
            <w:pPr>
              <w:jc w:val="center"/>
            </w:pPr>
            <w:r>
              <w:t>300</w:t>
            </w:r>
          </w:p>
        </w:tc>
      </w:tr>
      <w:tr w:rsidR="00651A81" w:rsidRPr="00CE6BC0" w14:paraId="584999C0" w14:textId="77777777" w:rsidTr="00CA61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A9E03A5" w14:textId="77777777" w:rsidR="00651A81" w:rsidRPr="00CE6BC0" w:rsidRDefault="00651A81" w:rsidP="00CA61C2">
            <w:pPr>
              <w:rPr>
                <w:szCs w:val="16"/>
              </w:rPr>
            </w:pPr>
            <w:r w:rsidRPr="00CE6BC0">
              <w:rPr>
                <w:szCs w:val="16"/>
              </w:rPr>
              <w:t>ИТОГО</w:t>
            </w:r>
          </w:p>
        </w:tc>
        <w:tc>
          <w:tcPr>
            <w:tcW w:w="0" w:type="auto"/>
          </w:tcPr>
          <w:p w14:paraId="1AFECE86" w14:textId="3E74D67E" w:rsidR="00651A81" w:rsidRPr="00CE6BC0" w:rsidRDefault="00651A81" w:rsidP="00651A81">
            <w:pPr>
              <w:jc w:val="center"/>
            </w:pPr>
            <w:r>
              <w:t>4 520</w:t>
            </w:r>
          </w:p>
        </w:tc>
      </w:tr>
    </w:tbl>
    <w:p w14:paraId="2EA7EE73" w14:textId="64224475" w:rsidR="00F75DF3" w:rsidRDefault="00651A81">
      <w:r>
        <w:t xml:space="preserve"> </w:t>
      </w:r>
    </w:p>
    <w:p w14:paraId="18B66049" w14:textId="2A24F500" w:rsidR="00CB341F" w:rsidRDefault="005A0AA2" w:rsidP="00DF78BA">
      <w:pPr>
        <w:jc w:val="both"/>
      </w:pPr>
      <w:r>
        <w:t xml:space="preserve">Инвестиции складываются из подготовки помещения и разработки документации на монтаж необходимого оборудования, а также собственно из закупки производственного комплекса (оборудование импортное, но закупается в России у </w:t>
      </w:r>
      <w:r>
        <w:lastRenderedPageBreak/>
        <w:t>местного поставщика</w:t>
      </w:r>
      <w:r w:rsidR="00DF78BA">
        <w:t xml:space="preserve"> и на основании рублевого контракта</w:t>
      </w:r>
      <w:r>
        <w:t xml:space="preserve">, поэтому </w:t>
      </w:r>
      <w:r w:rsidR="00573910">
        <w:t>импортная пошлина отдельно не уплачивается</w:t>
      </w:r>
      <w:r>
        <w:t xml:space="preserve">). </w:t>
      </w:r>
    </w:p>
    <w:p w14:paraId="66D7D4D8" w14:textId="77777777" w:rsidR="00DF78BA" w:rsidRDefault="00DF78BA"/>
    <w:p w14:paraId="67D92BE5" w14:textId="26F4775E" w:rsidR="005A0AA2" w:rsidRDefault="005A0AA2">
      <w:r>
        <w:t>График расходов на подготовку зданий (тыс. руб., без НДС)</w:t>
      </w:r>
    </w:p>
    <w:p w14:paraId="1175CFBA" w14:textId="77777777" w:rsidR="005A0AA2" w:rsidRDefault="005A0AA2"/>
    <w:tbl>
      <w:tblPr>
        <w:tblStyle w:val="-4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7"/>
        <w:gridCol w:w="921"/>
        <w:gridCol w:w="1068"/>
        <w:gridCol w:w="919"/>
        <w:gridCol w:w="919"/>
        <w:gridCol w:w="812"/>
        <w:gridCol w:w="812"/>
        <w:gridCol w:w="811"/>
      </w:tblGrid>
      <w:tr w:rsidR="005A0AA2" w:rsidRPr="00573910" w14:paraId="02B93073" w14:textId="77777777" w:rsidTr="00DF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02608B3C" w14:textId="77777777" w:rsidR="005A0AA2" w:rsidRPr="00573910" w:rsidRDefault="005A0AA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4CCA21A9" w14:textId="58756B8B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 кв.</w:t>
            </w:r>
          </w:p>
        </w:tc>
        <w:tc>
          <w:tcPr>
            <w:tcW w:w="572" w:type="pct"/>
          </w:tcPr>
          <w:p w14:paraId="017A3854" w14:textId="2BABA16B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 кв.</w:t>
            </w:r>
          </w:p>
        </w:tc>
        <w:tc>
          <w:tcPr>
            <w:tcW w:w="492" w:type="pct"/>
          </w:tcPr>
          <w:p w14:paraId="48CF9029" w14:textId="725C4B40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3 кв.</w:t>
            </w:r>
          </w:p>
        </w:tc>
        <w:tc>
          <w:tcPr>
            <w:tcW w:w="492" w:type="pct"/>
          </w:tcPr>
          <w:p w14:paraId="5DDA3DB9" w14:textId="59BFDE18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 кв.</w:t>
            </w:r>
          </w:p>
        </w:tc>
        <w:tc>
          <w:tcPr>
            <w:tcW w:w="435" w:type="pct"/>
          </w:tcPr>
          <w:p w14:paraId="187EDCCB" w14:textId="30B824B3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5 кв.</w:t>
            </w:r>
          </w:p>
        </w:tc>
        <w:tc>
          <w:tcPr>
            <w:tcW w:w="435" w:type="pct"/>
          </w:tcPr>
          <w:p w14:paraId="55E91184" w14:textId="2364A2AC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6 кв.</w:t>
            </w:r>
          </w:p>
        </w:tc>
        <w:tc>
          <w:tcPr>
            <w:tcW w:w="435" w:type="pct"/>
          </w:tcPr>
          <w:p w14:paraId="6951D083" w14:textId="66C16A70" w:rsidR="005A0AA2" w:rsidRPr="00573910" w:rsidRDefault="005A0AA2" w:rsidP="005A0AA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7 кв.</w:t>
            </w:r>
          </w:p>
        </w:tc>
      </w:tr>
      <w:tr w:rsidR="005A0AA2" w:rsidRPr="00573910" w14:paraId="18100F71" w14:textId="77777777" w:rsidTr="00DF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15844CC0" w14:textId="6BAA2E38" w:rsidR="005A0AA2" w:rsidRPr="00573910" w:rsidRDefault="005A0AA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Рабочая документация</w:t>
            </w:r>
          </w:p>
        </w:tc>
        <w:tc>
          <w:tcPr>
            <w:tcW w:w="493" w:type="pct"/>
          </w:tcPr>
          <w:p w14:paraId="0F81123C" w14:textId="0B9415B6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2 000</w:t>
            </w:r>
          </w:p>
        </w:tc>
        <w:tc>
          <w:tcPr>
            <w:tcW w:w="572" w:type="pct"/>
          </w:tcPr>
          <w:p w14:paraId="65A53FEB" w14:textId="4B11A24F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16 000</w:t>
            </w:r>
          </w:p>
        </w:tc>
        <w:tc>
          <w:tcPr>
            <w:tcW w:w="492" w:type="pct"/>
          </w:tcPr>
          <w:p w14:paraId="0F91F616" w14:textId="7E8C9D91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4 000</w:t>
            </w:r>
          </w:p>
        </w:tc>
        <w:tc>
          <w:tcPr>
            <w:tcW w:w="492" w:type="pct"/>
          </w:tcPr>
          <w:p w14:paraId="6D9A6A0E" w14:textId="77777777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</w:tcPr>
          <w:p w14:paraId="57E3808A" w14:textId="77777777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</w:tcPr>
          <w:p w14:paraId="4DC705E0" w14:textId="77777777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</w:tcPr>
          <w:p w14:paraId="673930BF" w14:textId="77777777" w:rsidR="005A0AA2" w:rsidRPr="00573910" w:rsidRDefault="005A0AA2" w:rsidP="005A0A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A0AA2" w:rsidRPr="00573910" w14:paraId="2B3D0075" w14:textId="77777777" w:rsidTr="00DF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</w:tcPr>
          <w:p w14:paraId="3B2D25C9" w14:textId="5709BFC1" w:rsidR="005A0AA2" w:rsidRPr="00573910" w:rsidRDefault="005A0AA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Реконструкция здания</w:t>
            </w:r>
          </w:p>
        </w:tc>
        <w:tc>
          <w:tcPr>
            <w:tcW w:w="493" w:type="pct"/>
          </w:tcPr>
          <w:p w14:paraId="4E0F71A7" w14:textId="77777777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72" w:type="pct"/>
          </w:tcPr>
          <w:p w14:paraId="4187E125" w14:textId="7385C0F4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900</w:t>
            </w:r>
          </w:p>
        </w:tc>
        <w:tc>
          <w:tcPr>
            <w:tcW w:w="492" w:type="pct"/>
          </w:tcPr>
          <w:p w14:paraId="14D51B3D" w14:textId="6D484574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8 000</w:t>
            </w:r>
          </w:p>
        </w:tc>
        <w:tc>
          <w:tcPr>
            <w:tcW w:w="492" w:type="pct"/>
          </w:tcPr>
          <w:p w14:paraId="4E82C1FC" w14:textId="089D53E0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8 000</w:t>
            </w:r>
          </w:p>
        </w:tc>
        <w:tc>
          <w:tcPr>
            <w:tcW w:w="435" w:type="pct"/>
          </w:tcPr>
          <w:p w14:paraId="0958BDB0" w14:textId="77777777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</w:tcPr>
          <w:p w14:paraId="2C71B3F3" w14:textId="77777777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35" w:type="pct"/>
          </w:tcPr>
          <w:p w14:paraId="21112ECC" w14:textId="77777777" w:rsidR="005A0AA2" w:rsidRPr="00573910" w:rsidRDefault="005A0AA2" w:rsidP="005A0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225784D9" w14:textId="77777777" w:rsidR="005A0AA2" w:rsidRDefault="005A0AA2"/>
    <w:p w14:paraId="2355774B" w14:textId="62608123" w:rsidR="00651A81" w:rsidRPr="005A0AA2" w:rsidRDefault="005A0AA2" w:rsidP="003706E0">
      <w:pPr>
        <w:outlineLvl w:val="0"/>
      </w:pPr>
      <w:r>
        <w:t>Расходы на оборудование (</w:t>
      </w:r>
      <w:r>
        <w:rPr>
          <w:lang w:val="en-US"/>
        </w:rPr>
        <w:t>USD</w:t>
      </w:r>
      <w:r w:rsidRPr="005A0AA2">
        <w:t xml:space="preserve">, </w:t>
      </w:r>
      <w:r>
        <w:t>без НДС)</w:t>
      </w:r>
    </w:p>
    <w:p w14:paraId="1BC70E51" w14:textId="77777777" w:rsidR="005A0AA2" w:rsidRDefault="005A0AA2"/>
    <w:tbl>
      <w:tblPr>
        <w:tblStyle w:val="-4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0"/>
        <w:gridCol w:w="636"/>
        <w:gridCol w:w="926"/>
        <w:gridCol w:w="926"/>
        <w:gridCol w:w="926"/>
        <w:gridCol w:w="926"/>
        <w:gridCol w:w="926"/>
        <w:gridCol w:w="783"/>
      </w:tblGrid>
      <w:tr w:rsidR="00573910" w:rsidRPr="00573910" w14:paraId="562E8684" w14:textId="77777777" w:rsidTr="00DF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12F258F6" w14:textId="77777777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pct"/>
          </w:tcPr>
          <w:p w14:paraId="764B9AF9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 кв.</w:t>
            </w:r>
          </w:p>
        </w:tc>
        <w:tc>
          <w:tcPr>
            <w:tcW w:w="496" w:type="pct"/>
          </w:tcPr>
          <w:p w14:paraId="4D8538D8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 кв.</w:t>
            </w:r>
          </w:p>
        </w:tc>
        <w:tc>
          <w:tcPr>
            <w:tcW w:w="496" w:type="pct"/>
          </w:tcPr>
          <w:p w14:paraId="0AE29003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3 кв.</w:t>
            </w:r>
          </w:p>
        </w:tc>
        <w:tc>
          <w:tcPr>
            <w:tcW w:w="496" w:type="pct"/>
          </w:tcPr>
          <w:p w14:paraId="30BB78E4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 кв.</w:t>
            </w:r>
          </w:p>
        </w:tc>
        <w:tc>
          <w:tcPr>
            <w:tcW w:w="496" w:type="pct"/>
          </w:tcPr>
          <w:p w14:paraId="23198657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5 кв.</w:t>
            </w:r>
          </w:p>
        </w:tc>
        <w:tc>
          <w:tcPr>
            <w:tcW w:w="496" w:type="pct"/>
          </w:tcPr>
          <w:p w14:paraId="25438456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6 кв.</w:t>
            </w:r>
          </w:p>
        </w:tc>
        <w:tc>
          <w:tcPr>
            <w:tcW w:w="419" w:type="pct"/>
          </w:tcPr>
          <w:p w14:paraId="2A388AB8" w14:textId="77777777" w:rsidR="00573910" w:rsidRPr="00573910" w:rsidRDefault="00573910" w:rsidP="005739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7 кв.</w:t>
            </w:r>
          </w:p>
        </w:tc>
      </w:tr>
      <w:tr w:rsidR="00573910" w:rsidRPr="00573910" w14:paraId="30539266" w14:textId="77777777" w:rsidTr="00DF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51EB4F58" w14:textId="4E8DDEFC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Установка роста 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4B4FB132" w14:textId="211E6AEC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4B4D96EB" w14:textId="7F585542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450 000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7AA38158" w14:textId="4B67280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6DA61436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7625694" w14:textId="21B4D8E3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450 000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32A02217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44489A48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73910" w:rsidRPr="00573910" w14:paraId="66FCA35E" w14:textId="77777777" w:rsidTr="00DF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11242F85" w14:textId="09B488B2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Установка роста Б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343FBA56" w14:textId="26F8AE09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0BDC57DA" w14:textId="7ACBCCE5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450 000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F22FB2C" w14:textId="58EF0CA3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C0A8A92" w14:textId="0E972EE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5B72D6BC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5FA4C003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4E672B80" w14:textId="0B9C737F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450 000</w:t>
            </w:r>
          </w:p>
        </w:tc>
      </w:tr>
      <w:tr w:rsidR="00573910" w:rsidRPr="00573910" w14:paraId="67B99FDD" w14:textId="77777777" w:rsidTr="00DF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05142D23" w14:textId="320305C5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Оборудование участка роста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72143EF9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0DC0DD8E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3B00573E" w14:textId="761F4354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2 800 000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71FCA61" w14:textId="7110846A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2 800 000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39A3B172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57DB43D2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11C5AE3A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73910" w:rsidRPr="00573910" w14:paraId="7AE1E3B1" w14:textId="77777777" w:rsidTr="00DF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5736D559" w14:textId="22053BC4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Оборудование участка обработки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6DA39F08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3918DEBB" w14:textId="1211AE8C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4 200 000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0A258A46" w14:textId="2866DF55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740 000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5D3646D7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064894C7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298054A3" w14:textId="18A1A0A4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5 100 000</w:t>
            </w: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3B3BA97D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73910" w:rsidRPr="00573910" w14:paraId="2D6BC7C0" w14:textId="77777777" w:rsidTr="00DF7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46E901D9" w14:textId="4C7DF9A1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Участок эпитаксии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73F8C81B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2A21B1B1" w14:textId="4B61FE1C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920 000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69AA8CC5" w14:textId="0D92966D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150 000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4EE7479E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9B36160" w14:textId="695338FC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2 600 000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11AB65B6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7769B5AE" w14:textId="77777777" w:rsidR="00573910" w:rsidRPr="00573910" w:rsidRDefault="00573910" w:rsidP="005739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73910" w:rsidRPr="00573910" w14:paraId="73DE1BF6" w14:textId="77777777" w:rsidTr="00DF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</w:tcPr>
          <w:p w14:paraId="1ADAEE30" w14:textId="5F543E6A" w:rsidR="00573910" w:rsidRPr="00573910" w:rsidRDefault="00573910" w:rsidP="00CA61C2">
            <w:pPr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Инфраструктура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14:paraId="5BF06E51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31C5132F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707DD248" w14:textId="0D99E328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1 830 000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25F8F6B0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5B1C9261" w14:textId="27BB6519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73910">
              <w:rPr>
                <w:rFonts w:cs="Arial"/>
                <w:sz w:val="18"/>
                <w:szCs w:val="18"/>
              </w:rPr>
              <w:t>1 950 000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</w:tcPr>
          <w:p w14:paraId="72288846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419" w:type="pct"/>
            <w:tcMar>
              <w:left w:w="57" w:type="dxa"/>
              <w:right w:w="57" w:type="dxa"/>
            </w:tcMar>
          </w:tcPr>
          <w:p w14:paraId="1800DAFF" w14:textId="77777777" w:rsidR="00573910" w:rsidRPr="00573910" w:rsidRDefault="00573910" w:rsidP="005739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073EE560" w14:textId="77777777" w:rsidR="00573910" w:rsidRDefault="00573910"/>
    <w:p w14:paraId="3E7D0B2C" w14:textId="12BBD365" w:rsidR="005A0AA2" w:rsidRPr="002E70E7" w:rsidRDefault="002E70E7" w:rsidP="00DF78BA">
      <w:pPr>
        <w:jc w:val="both"/>
      </w:pPr>
      <w:r>
        <w:t>Поскольку банки требуют страхования имущества, переданного в залог, мы провели предварительные переговоры со страховой компанией. Они предлагают застраховать оборудование с момента постановки на баланс, а страховая премия составит 1% в год от остаточной стоимости оборудования. Премия уплачивается ежеквартально, то есть по 0,25% в квартал.</w:t>
      </w:r>
    </w:p>
    <w:p w14:paraId="06F55BB6" w14:textId="77777777" w:rsidR="000216E5" w:rsidRDefault="000216E5"/>
    <w:sectPr w:rsidR="000216E5" w:rsidSect="00F22B1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FB22" w14:textId="77777777" w:rsidR="00E33312" w:rsidRDefault="00E33312" w:rsidP="00177B72">
      <w:r>
        <w:separator/>
      </w:r>
    </w:p>
  </w:endnote>
  <w:endnote w:type="continuationSeparator" w:id="0">
    <w:p w14:paraId="12F114E3" w14:textId="77777777" w:rsidR="00E33312" w:rsidRDefault="00E33312" w:rsidP="0017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0BA" w14:textId="77777777" w:rsidR="00177B72" w:rsidRDefault="00177B72" w:rsidP="004E2F2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0C1679" w14:textId="77777777" w:rsidR="00177B72" w:rsidRDefault="00177B72" w:rsidP="00177B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73EC" w14:textId="77777777" w:rsidR="00177B72" w:rsidRDefault="00177B72" w:rsidP="004E2F2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229">
      <w:rPr>
        <w:rStyle w:val="a7"/>
        <w:noProof/>
      </w:rPr>
      <w:t>2</w:t>
    </w:r>
    <w:r>
      <w:rPr>
        <w:rStyle w:val="a7"/>
      </w:rPr>
      <w:fldChar w:fldCharType="end"/>
    </w:r>
  </w:p>
  <w:p w14:paraId="02663D5B" w14:textId="77777777" w:rsidR="00177B72" w:rsidRDefault="00177B72" w:rsidP="00177B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84A4" w14:textId="77777777" w:rsidR="00E33312" w:rsidRDefault="00E33312" w:rsidP="00177B72">
      <w:r>
        <w:separator/>
      </w:r>
    </w:p>
  </w:footnote>
  <w:footnote w:type="continuationSeparator" w:id="0">
    <w:p w14:paraId="72F64433" w14:textId="77777777" w:rsidR="00E33312" w:rsidRDefault="00E33312" w:rsidP="0017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8CB"/>
    <w:multiLevelType w:val="hybridMultilevel"/>
    <w:tmpl w:val="CD3A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28BA"/>
    <w:multiLevelType w:val="hybridMultilevel"/>
    <w:tmpl w:val="548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9F"/>
    <w:rsid w:val="00003102"/>
    <w:rsid w:val="000216E5"/>
    <w:rsid w:val="0006624D"/>
    <w:rsid w:val="0008179F"/>
    <w:rsid w:val="00177B72"/>
    <w:rsid w:val="0018215C"/>
    <w:rsid w:val="00244025"/>
    <w:rsid w:val="002468D8"/>
    <w:rsid w:val="002C5378"/>
    <w:rsid w:val="002E23CE"/>
    <w:rsid w:val="002E70E7"/>
    <w:rsid w:val="00313361"/>
    <w:rsid w:val="00363C7D"/>
    <w:rsid w:val="00364135"/>
    <w:rsid w:val="003706E0"/>
    <w:rsid w:val="00490712"/>
    <w:rsid w:val="00573910"/>
    <w:rsid w:val="005A0AA2"/>
    <w:rsid w:val="005B17AC"/>
    <w:rsid w:val="00651A81"/>
    <w:rsid w:val="006C327C"/>
    <w:rsid w:val="007D37D7"/>
    <w:rsid w:val="007F7874"/>
    <w:rsid w:val="00816AFF"/>
    <w:rsid w:val="00860229"/>
    <w:rsid w:val="0088621D"/>
    <w:rsid w:val="008F02C8"/>
    <w:rsid w:val="00B71591"/>
    <w:rsid w:val="00BB2AAB"/>
    <w:rsid w:val="00CB341F"/>
    <w:rsid w:val="00CE6BC0"/>
    <w:rsid w:val="00DF78BA"/>
    <w:rsid w:val="00E33312"/>
    <w:rsid w:val="00E56E9C"/>
    <w:rsid w:val="00F010D4"/>
    <w:rsid w:val="00F22B18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DC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D8"/>
    <w:pPr>
      <w:ind w:left="720"/>
      <w:contextualSpacing/>
    </w:pPr>
  </w:style>
  <w:style w:type="table" w:styleId="a4">
    <w:name w:val="Table Grid"/>
    <w:basedOn w:val="a1"/>
    <w:uiPriority w:val="39"/>
    <w:rsid w:val="00CB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E56E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31">
    <w:name w:val="Grid Table 3 Accent 1"/>
    <w:basedOn w:val="a1"/>
    <w:uiPriority w:val="48"/>
    <w:rsid w:val="00E56E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5">
    <w:name w:val="footer"/>
    <w:basedOn w:val="a"/>
    <w:link w:val="a6"/>
    <w:uiPriority w:val="99"/>
    <w:unhideWhenUsed/>
    <w:rsid w:val="00177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B72"/>
  </w:style>
  <w:style w:type="character" w:styleId="a7">
    <w:name w:val="page number"/>
    <w:basedOn w:val="a0"/>
    <w:uiPriority w:val="99"/>
    <w:semiHidden/>
    <w:unhideWhenUsed/>
    <w:rsid w:val="00177B72"/>
  </w:style>
  <w:style w:type="table" w:customStyle="1" w:styleId="-311">
    <w:name w:val="Список-таблица 3 — акцент 11"/>
    <w:basedOn w:val="a1"/>
    <w:uiPriority w:val="48"/>
    <w:rsid w:val="00CE6BC0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41">
    <w:name w:val="Grid Table 4 Accent 1"/>
    <w:basedOn w:val="a1"/>
    <w:uiPriority w:val="49"/>
    <w:rsid w:val="00651A8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6724-4B0E-5949-8BA1-C5F837E4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Irina Koltsova</cp:lastModifiedBy>
  <cp:revision>14</cp:revision>
  <dcterms:created xsi:type="dcterms:W3CDTF">2015-10-15T12:49:00Z</dcterms:created>
  <dcterms:modified xsi:type="dcterms:W3CDTF">2022-03-16T23:03:00Z</dcterms:modified>
</cp:coreProperties>
</file>