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ADC1" w14:textId="7A959D60" w:rsidR="00EE5C85" w:rsidRDefault="00EE5C85">
      <w:r>
        <w:rPr>
          <w:noProof/>
        </w:rPr>
        <w:drawing>
          <wp:inline distT="0" distB="0" distL="0" distR="0" wp14:anchorId="70D8A985" wp14:editId="42EC340D">
            <wp:extent cx="571500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37717" w14:textId="5DBC9A13" w:rsidR="00EE5C85" w:rsidRDefault="00EE5C85"/>
    <w:p w14:paraId="276FBA3F" w14:textId="7898302C" w:rsidR="00EE5C85" w:rsidRPr="00EE5C85" w:rsidRDefault="00EE5C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C85">
        <w:rPr>
          <w:rFonts w:ascii="Times New Roman" w:hAnsi="Times New Roman" w:cs="Times New Roman"/>
          <w:sz w:val="28"/>
          <w:szCs w:val="28"/>
          <w:lang w:val="en-US"/>
        </w:rPr>
        <w:t xml:space="preserve">SAL – Sales </w:t>
      </w:r>
    </w:p>
    <w:p w14:paraId="017D0F16" w14:textId="01CDBC27" w:rsidR="00EE5C85" w:rsidRPr="00EE5C85" w:rsidRDefault="00EE5C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C85">
        <w:rPr>
          <w:rFonts w:ascii="Times New Roman" w:hAnsi="Times New Roman" w:cs="Times New Roman"/>
          <w:sz w:val="28"/>
          <w:szCs w:val="28"/>
          <w:lang w:val="en-US"/>
        </w:rPr>
        <w:t>COGS – Cost of Goods Sold</w:t>
      </w:r>
    </w:p>
    <w:p w14:paraId="1AB5C6E7" w14:textId="44B31CC9" w:rsidR="00EE5C85" w:rsidRPr="00EE5C85" w:rsidRDefault="00EE5C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C85">
        <w:rPr>
          <w:rFonts w:ascii="Times New Roman" w:hAnsi="Times New Roman" w:cs="Times New Roman"/>
          <w:sz w:val="28"/>
          <w:szCs w:val="28"/>
          <w:lang w:val="en-US"/>
        </w:rPr>
        <w:t>SG&amp;A – Selling, General &amp; Administrative Expenses</w:t>
      </w:r>
    </w:p>
    <w:p w14:paraId="22D6D9CC" w14:textId="30D35550" w:rsidR="00EE5C85" w:rsidRPr="00EE5C85" w:rsidRDefault="00EE5C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C85">
        <w:rPr>
          <w:rFonts w:ascii="Times New Roman" w:hAnsi="Times New Roman" w:cs="Times New Roman"/>
          <w:sz w:val="28"/>
          <w:szCs w:val="28"/>
          <w:lang w:val="en-US"/>
        </w:rPr>
        <w:t>DA – Depreciation and Amortization</w:t>
      </w:r>
    </w:p>
    <w:p w14:paraId="725FE866" w14:textId="17E72F29" w:rsidR="00EE5C85" w:rsidRPr="00EE5C85" w:rsidRDefault="00EE5C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C85">
        <w:rPr>
          <w:rFonts w:ascii="Times New Roman" w:hAnsi="Times New Roman" w:cs="Times New Roman"/>
          <w:sz w:val="28"/>
          <w:szCs w:val="28"/>
          <w:lang w:val="en-US"/>
        </w:rPr>
        <w:t>EBIT – Earnings before Interest and Taxes</w:t>
      </w:r>
    </w:p>
    <w:p w14:paraId="4C6A8951" w14:textId="7CE57DFE" w:rsidR="00EE5C85" w:rsidRPr="00EE5C85" w:rsidRDefault="00EE5C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C85">
        <w:rPr>
          <w:rFonts w:ascii="Times New Roman" w:hAnsi="Times New Roman" w:cs="Times New Roman"/>
          <w:sz w:val="28"/>
          <w:szCs w:val="28"/>
          <w:lang w:val="en-US"/>
        </w:rPr>
        <w:t>NOPAT – Net Operating Profit after Taxes</w:t>
      </w:r>
    </w:p>
    <w:p w14:paraId="0B1F6519" w14:textId="59B7E8E1" w:rsidR="00EE5C85" w:rsidRPr="00EE5C85" w:rsidRDefault="00EE5C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C85">
        <w:rPr>
          <w:rFonts w:ascii="Times New Roman" w:hAnsi="Times New Roman" w:cs="Times New Roman"/>
          <w:sz w:val="28"/>
          <w:szCs w:val="28"/>
          <w:lang w:val="en-US"/>
        </w:rPr>
        <w:t>OCF – Operating Cash Flow</w:t>
      </w:r>
    </w:p>
    <w:p w14:paraId="660F0D63" w14:textId="77777777" w:rsidR="00EE5C85" w:rsidRPr="00EE5C85" w:rsidRDefault="00EE5C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C85">
        <w:rPr>
          <w:rFonts w:ascii="Times New Roman" w:hAnsi="Times New Roman" w:cs="Times New Roman"/>
          <w:sz w:val="28"/>
          <w:szCs w:val="28"/>
          <w:lang w:val="en-US"/>
        </w:rPr>
        <w:t>NFA – Net Fixed Assets</w:t>
      </w:r>
    </w:p>
    <w:p w14:paraId="7F6DDAA0" w14:textId="69719422" w:rsidR="00EE5C85" w:rsidRPr="00EE5C85" w:rsidRDefault="00EE5C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C85">
        <w:rPr>
          <w:rFonts w:ascii="Times New Roman" w:hAnsi="Times New Roman" w:cs="Times New Roman"/>
          <w:sz w:val="28"/>
          <w:szCs w:val="28"/>
          <w:lang w:val="en-US"/>
        </w:rPr>
        <w:t xml:space="preserve">WCR – Working Capital Requirements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NWC – Net Working Capital)</w:t>
      </w:r>
    </w:p>
    <w:p w14:paraId="7C8488E2" w14:textId="7D70D970" w:rsidR="00EE5C85" w:rsidRPr="00EE5C85" w:rsidRDefault="00EE5C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C85">
        <w:rPr>
          <w:rFonts w:ascii="Times New Roman" w:hAnsi="Times New Roman" w:cs="Times New Roman"/>
          <w:sz w:val="28"/>
          <w:szCs w:val="28"/>
          <w:lang w:val="en-US"/>
        </w:rPr>
        <w:t>FCF – Free Cash Flow</w:t>
      </w:r>
    </w:p>
    <w:p w14:paraId="6BEF3520" w14:textId="77777777" w:rsidR="00EE5C85" w:rsidRDefault="00EE5C85">
      <w:pPr>
        <w:rPr>
          <w:lang w:val="en-US"/>
        </w:rPr>
      </w:pPr>
    </w:p>
    <w:p w14:paraId="5714C563" w14:textId="77777777" w:rsidR="00EE5C85" w:rsidRPr="00EE5C85" w:rsidRDefault="00EE5C85">
      <w:pPr>
        <w:rPr>
          <w:lang w:val="en-US"/>
        </w:rPr>
      </w:pPr>
    </w:p>
    <w:sectPr w:rsidR="00EE5C85" w:rsidRPr="00E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85"/>
    <w:rsid w:val="00E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0461"/>
  <w15:chartTrackingRefBased/>
  <w15:docId w15:val="{8C3FDC90-32D2-4ACA-BEE2-6C4F1A4B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Сокольникова</dc:creator>
  <cp:keywords/>
  <dc:description/>
  <cp:lastModifiedBy>Ирина Сокольникова</cp:lastModifiedBy>
  <cp:revision>1</cp:revision>
  <dcterms:created xsi:type="dcterms:W3CDTF">2022-10-12T09:59:00Z</dcterms:created>
  <dcterms:modified xsi:type="dcterms:W3CDTF">2022-10-12T10:06:00Z</dcterms:modified>
</cp:coreProperties>
</file>